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sz w:val="32"/>
          <w:szCs w:val="32"/>
          <w:lang w:eastAsia="zh-CN"/>
        </w:rPr>
      </w:pPr>
      <w:r>
        <w:rPr>
          <w:rFonts w:hint="eastAsia"/>
          <w:sz w:val="32"/>
          <w:szCs w:val="32"/>
          <w:lang w:eastAsia="zh-CN"/>
        </w:rPr>
        <w:t>江苏省南通第一中学食堂大宗物资采购项目</w:t>
      </w:r>
    </w:p>
    <w:p>
      <w:pPr>
        <w:bidi w:val="0"/>
        <w:jc w:val="center"/>
        <w:rPr>
          <w:rFonts w:hint="eastAsia"/>
          <w:sz w:val="32"/>
          <w:szCs w:val="32"/>
          <w:lang w:eastAsia="zh-CN"/>
        </w:rPr>
      </w:pPr>
      <w:r>
        <w:rPr>
          <w:rFonts w:hint="eastAsia"/>
          <w:sz w:val="32"/>
          <w:szCs w:val="32"/>
          <w:lang w:eastAsia="zh-CN"/>
        </w:rPr>
        <w:t>（米面类食材）</w:t>
      </w:r>
    </w:p>
    <w:p>
      <w:pPr>
        <w:bidi w:val="0"/>
        <w:jc w:val="center"/>
        <w:rPr>
          <w:sz w:val="32"/>
          <w:szCs w:val="32"/>
        </w:rPr>
      </w:pPr>
      <w:r>
        <w:rPr>
          <w:rFonts w:hint="eastAsia"/>
          <w:sz w:val="32"/>
          <w:szCs w:val="32"/>
        </w:rPr>
        <w:t>具体需求</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为满足</w:t>
      </w:r>
      <w:r>
        <w:rPr>
          <w:rFonts w:hint="eastAsia" w:ascii="仿宋" w:hAnsi="仿宋" w:eastAsia="仿宋" w:cs="仿宋"/>
          <w:sz w:val="28"/>
          <w:szCs w:val="28"/>
          <w:highlight w:val="none"/>
          <w:lang w:eastAsia="zh-CN"/>
        </w:rPr>
        <w:t>学校餐饮</w:t>
      </w:r>
      <w:r>
        <w:rPr>
          <w:rFonts w:hint="eastAsia" w:ascii="仿宋" w:hAnsi="仿宋" w:eastAsia="仿宋" w:cs="仿宋"/>
          <w:sz w:val="28"/>
          <w:szCs w:val="28"/>
          <w:highlight w:val="none"/>
        </w:rPr>
        <w:t>实际需要，采购人</w:t>
      </w:r>
      <w:r>
        <w:rPr>
          <w:rFonts w:hint="eastAsia" w:ascii="仿宋" w:hAnsi="仿宋" w:eastAsia="仿宋" w:cs="仿宋"/>
          <w:sz w:val="28"/>
          <w:szCs w:val="28"/>
          <w:highlight w:val="none"/>
          <w:lang w:eastAsia="zh-CN"/>
        </w:rPr>
        <w:t>江苏省南通第一中学</w:t>
      </w:r>
      <w:r>
        <w:rPr>
          <w:rFonts w:hint="eastAsia" w:ascii="仿宋" w:hAnsi="仿宋" w:eastAsia="仿宋" w:cs="仿宋"/>
          <w:sz w:val="28"/>
          <w:szCs w:val="28"/>
          <w:highlight w:val="none"/>
        </w:rPr>
        <w:t>对</w:t>
      </w:r>
      <w:r>
        <w:rPr>
          <w:rFonts w:hint="eastAsia" w:ascii="仿宋" w:hAnsi="仿宋" w:eastAsia="仿宋" w:cs="仿宋"/>
          <w:sz w:val="28"/>
          <w:szCs w:val="28"/>
          <w:highlight w:val="none"/>
          <w:lang w:eastAsia="zh-CN"/>
        </w:rPr>
        <w:t>江苏省南通第一中学食堂大宗物资采购项目（米面类食材）</w:t>
      </w:r>
      <w:r>
        <w:rPr>
          <w:rFonts w:hint="eastAsia" w:ascii="仿宋" w:hAnsi="仿宋" w:eastAsia="仿宋" w:cs="仿宋"/>
          <w:sz w:val="28"/>
          <w:szCs w:val="28"/>
          <w:highlight w:val="none"/>
        </w:rPr>
        <w:t>进行询价采购。投标供应商需仔细研读采购文件，以充分了解招标人采购需要，作出合理的响应。具</w:t>
      </w:r>
      <w:r>
        <w:rPr>
          <w:rFonts w:hint="eastAsia" w:ascii="仿宋" w:hAnsi="仿宋" w:eastAsia="仿宋" w:cs="仿宋"/>
          <w:sz w:val="28"/>
          <w:szCs w:val="28"/>
          <w:highlight w:val="none"/>
          <w:lang w:eastAsia="zh-CN"/>
        </w:rPr>
        <w:t>体内容如下：</w:t>
      </w:r>
    </w:p>
    <w:p>
      <w:pPr>
        <w:spacing w:after="0" w:line="360" w:lineRule="auto"/>
        <w:ind w:firstLine="562" w:firstLineChars="200"/>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一、供应商资格条件：</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1.符合《政府采购法》第二十二条之规定：具备独立承担民事责任的能力；具有良好的商业信誉和健全的财务会计制度；具有履行合同所必须的设备和专业技术能力；有依法缴纳税收和社会保障资金的良好记录；参加本次采购活动前三年内，在经营活动中没有重大违法记录，且无不良记录；</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2.供应商必须具有有效的营业执照（经营范围含有食品销售或生产相关内容）；</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3.供应商必须具有有效的食品经营许可证或食品生产许可证；</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4.拟派本项目配送人员为投标供应商企业正式员工，具备有效的健康证（提供拟派人员名单、身份证复印件、劳动合同、健康证明）；</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5.供应商在合同履约过程中，没有违约现象，没有单方面不执行合同条款的先例（提供书面承诺，格式自拟。经查实投标人承诺不实的视为虚假投标）；</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6.供应商企业业绩，提供2018年1月至今有关类似成交业绩，投标时提供成交合同及发票复印件（原件带至评标点，备查）。</w:t>
      </w:r>
    </w:p>
    <w:p>
      <w:pPr>
        <w:spacing w:after="0" w:line="540" w:lineRule="exact"/>
        <w:ind w:firstLine="562" w:firstLineChars="200"/>
        <w:jc w:val="both"/>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二、项目需求</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（一）</w:t>
      </w:r>
      <w:r>
        <w:rPr>
          <w:rFonts w:hint="eastAsia" w:ascii="仿宋" w:hAnsi="仿宋" w:eastAsia="仿宋" w:cs="仿宋"/>
          <w:sz w:val="28"/>
          <w:szCs w:val="28"/>
          <w:highlight w:val="none"/>
          <w:lang w:eastAsia="zh-CN"/>
        </w:rPr>
        <w:t>产品质量</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质量指标：符合《中华人民共和国食品安全法》(2015年10月1日实施)。</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供货商提供的产品必须符合《中华人民共和国国家标准》（GB/T 22502-2008）(2009年1月20日实施)，农产品符合《中华人民共和国农业行业标准》（NY/T 1717-2009）（2009年5月1日实施）和江苏省地方标准《中小学食堂管理服务规范》（2021年6月14日实施）及其它相应的标准，同时，要满足学校对产品的其它质量要求并必须确保食品安全。</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（二）</w:t>
      </w:r>
      <w:r>
        <w:rPr>
          <w:rFonts w:hint="eastAsia" w:ascii="仿宋" w:hAnsi="仿宋" w:eastAsia="仿宋" w:cs="仿宋"/>
          <w:sz w:val="28"/>
          <w:szCs w:val="28"/>
          <w:highlight w:val="none"/>
          <w:lang w:eastAsia="zh-CN"/>
        </w:rPr>
        <w:t>产品配送</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1．方式：中标企业需明确送货人，送货人代表中标企业履行配送职责，学校验收货物，校企共同把好送货、验收关口。</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 xml:space="preserve">2、时间、地点：中标方须每天分早中晚三次配送湿面条和湿皮子，具体送货时间为：早晨5：50前；中午11:00前；晚上17：00前。其他食材按学校食堂要求，将食品原材料送到学校食堂指定的库房，包装费和运费等均由中标方承担（数量与具体交货日期以合同为准）。 </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3．中标方必须根据学校购货计划，按时、保质、保量将原辅料送到学校指定库房，并满足适度的加工要求，如遇货源紧缺等特殊情况，必须履行供货合同，首先确保向学校供货。否则，作违约处理。</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4.原则上，学校定期询价，成交供应商在相应期间必须按照所报价格供货。合同期内市场行情发生大的价格涨跌时（涨跌幅度超过10%），则按照本询价文件第（七）条相关事项约定执行。如中标供应商不能按采购方需求供货，则终止合同，没收其保证金。由第二中标候选人供货。</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（三）</w:t>
      </w:r>
      <w:r>
        <w:rPr>
          <w:rFonts w:hint="eastAsia" w:ascii="仿宋" w:hAnsi="仿宋" w:eastAsia="仿宋" w:cs="仿宋"/>
          <w:sz w:val="28"/>
          <w:szCs w:val="28"/>
          <w:highlight w:val="none"/>
          <w:lang w:eastAsia="zh-CN"/>
        </w:rPr>
        <w:t>服务期限</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2022年3月1日-2022年8月31日。一采三年，半年一签。半年合同期满后，经双方同意，可以续签合同。</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（四）送货要求</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1．中标供应商在接到学校正式下达的食品原材料数量后，中标供应商即刻进行原材料备货。</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2.中标供应商根据学校要求按时、足量、保质将学校订购的产品送达学校指定的食堂库房。</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3. 中标供应商配合学校做好货物验收工作。</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4．关于质量：中标供应商在食品原材料配送过程中，一旦发生质量问题，立即无条件终止供货，废除中标资格，并取消以后参加江苏省南通第一中学食堂大宗物资询价采购项目投标资格。</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备注：常见质量问题（但不限于以下所列质量问题）：</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（1）腐败变质油脂酸败、霉变生虫、污秽不洁等对人体健康有害的；</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（2）有毒有害物品、寄生虫、微生物或微生物含量超过国家规定标准的，未经动物部门检疫或检疫不合格的；</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（3）掺假、掺杂、造假；</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（4）用非食品原料加工或加入非食品用化学物质的；</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（5）超过保质期的；</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（6）使用国家禁止材料的；</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（7）其它原因造成不符合国家安全等规定的；</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（8）原料品牌、供货品种、参数不符合招标标准；</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（9）短斤缺两、以次充好；</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（10）湿面条、湿皮子发生颜色改变，或者发酸发粘等。</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（五）关于付款</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食堂所需食品原材料根据双方签订的合同及学校的具体需求，由供应商按时供货，供货完毕后，经学校验收合格后，按供货批次、供货日期登记入帐，中标单位于每月二十五日前到学校食堂对帐、结算，供应商开具正式发票，款项由学校按相关财务支付规定办理支付手续，学校将于次月20日前付款。</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供应商每次支付货款前，必须向采购单位开具正规发票，发票需能在江苏省地方税务局（</w:t>
      </w:r>
      <w:r>
        <w:rPr>
          <w:rFonts w:hint="eastAsia" w:ascii="仿宋" w:hAnsi="仿宋" w:eastAsia="仿宋" w:cs="仿宋"/>
          <w:sz w:val="28"/>
          <w:szCs w:val="28"/>
          <w:highlight w:val="none"/>
          <w:lang w:eastAsia="zh-CN"/>
        </w:rPr>
        <w:fldChar w:fldCharType="begin"/>
      </w:r>
      <w:r>
        <w:rPr>
          <w:rFonts w:hint="eastAsia" w:ascii="仿宋" w:hAnsi="仿宋" w:eastAsia="仿宋" w:cs="仿宋"/>
          <w:sz w:val="28"/>
          <w:szCs w:val="28"/>
          <w:highlight w:val="none"/>
          <w:lang w:eastAsia="zh-CN"/>
        </w:rPr>
        <w:instrText xml:space="preserve"> HYPERLINK "http://www.jsds.gov.cn/" </w:instrText>
      </w:r>
      <w:r>
        <w:rPr>
          <w:rFonts w:hint="eastAsia" w:ascii="仿宋" w:hAnsi="仿宋" w:eastAsia="仿宋" w:cs="仿宋"/>
          <w:sz w:val="28"/>
          <w:szCs w:val="28"/>
          <w:highlight w:val="none"/>
          <w:lang w:eastAsia="zh-CN"/>
        </w:rPr>
        <w:fldChar w:fldCharType="separate"/>
      </w:r>
      <w:r>
        <w:rPr>
          <w:rFonts w:hint="eastAsia" w:ascii="仿宋" w:hAnsi="仿宋" w:eastAsia="仿宋" w:cs="仿宋"/>
          <w:sz w:val="28"/>
          <w:szCs w:val="28"/>
          <w:highlight w:val="none"/>
          <w:lang w:eastAsia="zh-CN"/>
        </w:rPr>
        <w:t>http://www.jsds.gov.cn/</w:t>
      </w:r>
      <w:r>
        <w:rPr>
          <w:rFonts w:hint="eastAsia" w:ascii="仿宋" w:hAnsi="仿宋" w:eastAsia="仿宋" w:cs="仿宋"/>
          <w:sz w:val="28"/>
          <w:szCs w:val="28"/>
          <w:highlight w:val="none"/>
          <w:lang w:eastAsia="zh-CN"/>
        </w:rPr>
        <w:fldChar w:fldCharType="end"/>
      </w:r>
      <w:r>
        <w:rPr>
          <w:rFonts w:hint="eastAsia" w:ascii="仿宋" w:hAnsi="仿宋" w:eastAsia="仿宋" w:cs="仿宋"/>
          <w:sz w:val="28"/>
          <w:szCs w:val="28"/>
          <w:highlight w:val="none"/>
          <w:lang w:eastAsia="zh-CN"/>
        </w:rPr>
        <w:t>）或江苏国税发票查询系统（</w:t>
      </w:r>
      <w:r>
        <w:rPr>
          <w:rFonts w:hint="eastAsia" w:ascii="仿宋" w:hAnsi="仿宋" w:eastAsia="仿宋" w:cs="仿宋"/>
          <w:sz w:val="28"/>
          <w:szCs w:val="28"/>
          <w:highlight w:val="none"/>
          <w:lang w:eastAsia="zh-CN"/>
        </w:rPr>
        <w:fldChar w:fldCharType="begin"/>
      </w:r>
      <w:r>
        <w:rPr>
          <w:rFonts w:hint="eastAsia" w:ascii="仿宋" w:hAnsi="仿宋" w:eastAsia="仿宋" w:cs="仿宋"/>
          <w:sz w:val="28"/>
          <w:szCs w:val="28"/>
          <w:highlight w:val="none"/>
          <w:lang w:eastAsia="zh-CN"/>
        </w:rPr>
        <w:instrText xml:space="preserve"> HYPERLINK "http://edu.21cn.com/wap/zx_117_624431.html" </w:instrText>
      </w:r>
      <w:r>
        <w:rPr>
          <w:rFonts w:hint="eastAsia" w:ascii="仿宋" w:hAnsi="仿宋" w:eastAsia="仿宋" w:cs="仿宋"/>
          <w:sz w:val="28"/>
          <w:szCs w:val="28"/>
          <w:highlight w:val="none"/>
          <w:lang w:eastAsia="zh-CN"/>
        </w:rPr>
        <w:fldChar w:fldCharType="separate"/>
      </w:r>
      <w:r>
        <w:rPr>
          <w:rFonts w:hint="eastAsia" w:ascii="仿宋" w:hAnsi="仿宋" w:eastAsia="仿宋" w:cs="仿宋"/>
          <w:sz w:val="28"/>
          <w:szCs w:val="28"/>
          <w:highlight w:val="none"/>
          <w:lang w:eastAsia="zh-CN"/>
        </w:rPr>
        <w:t>http://edu.21cn.com/wap/zx_117_624431.html</w:t>
      </w:r>
      <w:r>
        <w:rPr>
          <w:rFonts w:hint="eastAsia" w:ascii="仿宋" w:hAnsi="仿宋" w:eastAsia="仿宋" w:cs="仿宋"/>
          <w:sz w:val="28"/>
          <w:szCs w:val="28"/>
          <w:highlight w:val="none"/>
          <w:lang w:eastAsia="zh-CN"/>
        </w:rPr>
        <w:fldChar w:fldCharType="end"/>
      </w:r>
      <w:r>
        <w:rPr>
          <w:rFonts w:hint="eastAsia" w:ascii="仿宋" w:hAnsi="仿宋" w:eastAsia="仿宋" w:cs="仿宋"/>
          <w:sz w:val="28"/>
          <w:szCs w:val="28"/>
          <w:highlight w:val="none"/>
          <w:lang w:eastAsia="zh-CN"/>
        </w:rPr>
        <w:t>）查询到。</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（六）清单</w:t>
      </w:r>
      <w:bookmarkStart w:id="4" w:name="_GoBack"/>
      <w:bookmarkEnd w:id="4"/>
    </w:p>
    <w:p>
      <w:pPr>
        <w:pStyle w:val="12"/>
        <w:spacing w:line="360" w:lineRule="auto"/>
        <w:jc w:val="center"/>
        <w:rPr>
          <w:rFonts w:hint="eastAsia" w:ascii="仿宋" w:hAnsi="仿宋" w:eastAsia="仿宋" w:cs="仿宋"/>
          <w:b/>
          <w:bCs/>
          <w:kern w:val="2"/>
          <w:sz w:val="28"/>
          <w:szCs w:val="28"/>
          <w:lang w:eastAsia="zh-CN"/>
        </w:rPr>
      </w:pPr>
      <w:r>
        <w:rPr>
          <w:rFonts w:hint="eastAsia" w:ascii="仿宋" w:hAnsi="仿宋" w:eastAsia="仿宋" w:cs="仿宋"/>
          <w:b/>
          <w:bCs/>
          <w:kern w:val="2"/>
          <w:sz w:val="28"/>
          <w:szCs w:val="28"/>
          <w:lang w:eastAsia="zh-CN"/>
        </w:rPr>
        <w:t>米、面</w:t>
      </w:r>
    </w:p>
    <w:tbl>
      <w:tblPr>
        <w:tblStyle w:val="10"/>
        <w:tblW w:w="0" w:type="auto"/>
        <w:jc w:val="center"/>
        <w:tblLayout w:type="fixed"/>
        <w:tblCellMar>
          <w:top w:w="0" w:type="dxa"/>
          <w:left w:w="108" w:type="dxa"/>
          <w:bottom w:w="0" w:type="dxa"/>
          <w:right w:w="108" w:type="dxa"/>
        </w:tblCellMar>
      </w:tblPr>
      <w:tblGrid>
        <w:gridCol w:w="441"/>
        <w:gridCol w:w="992"/>
        <w:gridCol w:w="1417"/>
        <w:gridCol w:w="1843"/>
        <w:gridCol w:w="2717"/>
        <w:gridCol w:w="684"/>
        <w:gridCol w:w="568"/>
      </w:tblGrid>
      <w:tr>
        <w:tblPrEx>
          <w:tblCellMar>
            <w:top w:w="0" w:type="dxa"/>
            <w:left w:w="108" w:type="dxa"/>
            <w:bottom w:w="0" w:type="dxa"/>
            <w:right w:w="108" w:type="dxa"/>
          </w:tblCellMar>
        </w:tblPrEx>
        <w:trPr>
          <w:trHeight w:val="975" w:hRule="atLeast"/>
          <w:jc w:val="center"/>
        </w:trPr>
        <w:tc>
          <w:tcPr>
            <w:tcW w:w="4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bookmarkStart w:id="0" w:name="_Hlk60133563"/>
            <w:bookmarkStart w:id="1" w:name="_Hlk60134603"/>
            <w:r>
              <w:rPr>
                <w:rFonts w:hint="eastAsia" w:ascii="仿宋" w:hAnsi="仿宋" w:eastAsia="仿宋" w:cs="仿宋"/>
                <w:color w:val="000000"/>
                <w:kern w:val="0"/>
                <w:szCs w:val="21"/>
              </w:rPr>
              <w:t>序号</w:t>
            </w: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名称</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规格</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lang w:eastAsia="zh-CN"/>
              </w:rPr>
              <w:t>建议</w:t>
            </w:r>
            <w:r>
              <w:rPr>
                <w:rFonts w:hint="eastAsia" w:ascii="仿宋" w:hAnsi="仿宋" w:eastAsia="仿宋" w:cs="仿宋"/>
                <w:color w:val="000000"/>
                <w:kern w:val="0"/>
                <w:szCs w:val="21"/>
              </w:rPr>
              <w:t>品牌</w:t>
            </w:r>
          </w:p>
        </w:tc>
        <w:tc>
          <w:tcPr>
            <w:tcW w:w="2717"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需求量</w:t>
            </w:r>
          </w:p>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（2022年3月1日至2022年8月31日）</w:t>
            </w:r>
          </w:p>
        </w:tc>
        <w:tc>
          <w:tcPr>
            <w:tcW w:w="68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单价</w:t>
            </w:r>
          </w:p>
        </w:tc>
        <w:tc>
          <w:tcPr>
            <w:tcW w:w="5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合计</w:t>
            </w:r>
          </w:p>
        </w:tc>
      </w:tr>
      <w:bookmarkEnd w:id="0"/>
      <w:tr>
        <w:tblPrEx>
          <w:tblCellMar>
            <w:top w:w="0" w:type="dxa"/>
            <w:left w:w="108" w:type="dxa"/>
            <w:bottom w:w="0" w:type="dxa"/>
            <w:right w:w="108" w:type="dxa"/>
          </w:tblCellMar>
        </w:tblPrEx>
        <w:trPr>
          <w:trHeight w:val="285" w:hRule="atLeast"/>
          <w:jc w:val="center"/>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1</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米</w:t>
            </w:r>
          </w:p>
        </w:tc>
        <w:tc>
          <w:tcPr>
            <w:tcW w:w="141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袋（25kg）</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濠河（一级）</w:t>
            </w:r>
          </w:p>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福临门（一级）</w:t>
            </w:r>
          </w:p>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里下河（一级）</w:t>
            </w:r>
          </w:p>
        </w:tc>
        <w:tc>
          <w:tcPr>
            <w:tcW w:w="271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1800袋</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p>
        </w:tc>
        <w:tc>
          <w:tcPr>
            <w:tcW w:w="56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Cs w:val="21"/>
              </w:rPr>
            </w:pPr>
          </w:p>
        </w:tc>
      </w:tr>
      <w:tr>
        <w:tblPrEx>
          <w:tblCellMar>
            <w:top w:w="0" w:type="dxa"/>
            <w:left w:w="108" w:type="dxa"/>
            <w:bottom w:w="0" w:type="dxa"/>
            <w:right w:w="108" w:type="dxa"/>
          </w:tblCellMar>
        </w:tblPrEx>
        <w:trPr>
          <w:trHeight w:val="285" w:hRule="atLeast"/>
          <w:jc w:val="center"/>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2</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5055</w:t>
            </w:r>
          </w:p>
        </w:tc>
        <w:tc>
          <w:tcPr>
            <w:tcW w:w="141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袋（10kg）</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濠河（一级）</w:t>
            </w:r>
          </w:p>
        </w:tc>
        <w:tc>
          <w:tcPr>
            <w:tcW w:w="2717" w:type="dxa"/>
            <w:tcBorders>
              <w:top w:val="nil"/>
              <w:left w:val="nil"/>
              <w:bottom w:val="single" w:color="auto" w:sz="4" w:space="0"/>
              <w:right w:val="single" w:color="auto" w:sz="4" w:space="0"/>
            </w:tcBorders>
            <w:noWrap/>
            <w:vAlign w:val="center"/>
          </w:tcPr>
          <w:p>
            <w:pPr>
              <w:widowControl/>
              <w:ind w:firstLine="220" w:firstLineChars="10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500袋</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p>
        </w:tc>
        <w:tc>
          <w:tcPr>
            <w:tcW w:w="56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Cs w:val="21"/>
              </w:rPr>
            </w:pPr>
          </w:p>
        </w:tc>
      </w:tr>
      <w:tr>
        <w:tblPrEx>
          <w:tblCellMar>
            <w:top w:w="0" w:type="dxa"/>
            <w:left w:w="108" w:type="dxa"/>
            <w:bottom w:w="0" w:type="dxa"/>
            <w:right w:w="108" w:type="dxa"/>
          </w:tblCellMar>
        </w:tblPrEx>
        <w:trPr>
          <w:trHeight w:val="285" w:hRule="atLeast"/>
          <w:jc w:val="center"/>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3</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面粉</w:t>
            </w:r>
          </w:p>
        </w:tc>
        <w:tc>
          <w:tcPr>
            <w:tcW w:w="141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袋（25kg）</w:t>
            </w:r>
          </w:p>
        </w:tc>
        <w:tc>
          <w:tcPr>
            <w:tcW w:w="1843" w:type="dxa"/>
            <w:tcBorders>
              <w:top w:val="single" w:color="auto" w:sz="4" w:space="0"/>
              <w:left w:val="nil"/>
              <w:bottom w:val="single" w:color="auto" w:sz="4" w:space="0"/>
              <w:right w:val="single" w:color="000000"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三得利（五星）</w:t>
            </w:r>
          </w:p>
        </w:tc>
        <w:tc>
          <w:tcPr>
            <w:tcW w:w="2717" w:type="dxa"/>
            <w:tcBorders>
              <w:top w:val="nil"/>
              <w:left w:val="nil"/>
              <w:bottom w:val="single" w:color="auto" w:sz="4" w:space="0"/>
              <w:right w:val="single" w:color="auto" w:sz="4" w:space="0"/>
            </w:tcBorders>
            <w:noWrap/>
            <w:vAlign w:val="center"/>
          </w:tcPr>
          <w:p>
            <w:pPr>
              <w:widowControl/>
              <w:ind w:firstLine="220" w:firstLineChars="10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500袋</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p>
        </w:tc>
        <w:tc>
          <w:tcPr>
            <w:tcW w:w="56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Cs w:val="21"/>
              </w:rPr>
            </w:pPr>
          </w:p>
        </w:tc>
      </w:tr>
      <w:tr>
        <w:tblPrEx>
          <w:tblCellMar>
            <w:top w:w="0" w:type="dxa"/>
            <w:left w:w="108" w:type="dxa"/>
            <w:bottom w:w="0" w:type="dxa"/>
            <w:right w:w="108" w:type="dxa"/>
          </w:tblCellMar>
        </w:tblPrEx>
        <w:trPr>
          <w:trHeight w:val="285" w:hRule="atLeast"/>
          <w:jc w:val="center"/>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4</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面条</w:t>
            </w:r>
          </w:p>
        </w:tc>
        <w:tc>
          <w:tcPr>
            <w:tcW w:w="141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kg</w:t>
            </w:r>
          </w:p>
        </w:tc>
        <w:tc>
          <w:tcPr>
            <w:tcW w:w="1843" w:type="dxa"/>
            <w:tcBorders>
              <w:top w:val="single" w:color="auto" w:sz="4" w:space="0"/>
              <w:left w:val="nil"/>
              <w:bottom w:val="single" w:color="auto" w:sz="4" w:space="0"/>
              <w:right w:val="single" w:color="000000"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自主</w:t>
            </w:r>
          </w:p>
        </w:tc>
        <w:tc>
          <w:tcPr>
            <w:tcW w:w="2717" w:type="dxa"/>
            <w:tcBorders>
              <w:top w:val="nil"/>
              <w:left w:val="nil"/>
              <w:bottom w:val="single" w:color="auto" w:sz="4" w:space="0"/>
              <w:right w:val="single" w:color="auto" w:sz="4" w:space="0"/>
            </w:tcBorders>
            <w:noWrap/>
            <w:vAlign w:val="center"/>
          </w:tcPr>
          <w:p>
            <w:pPr>
              <w:widowControl/>
              <w:ind w:firstLine="220" w:firstLineChars="10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20000kg</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p>
        </w:tc>
        <w:tc>
          <w:tcPr>
            <w:tcW w:w="56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Cs w:val="21"/>
              </w:rPr>
            </w:pPr>
          </w:p>
        </w:tc>
      </w:tr>
      <w:tr>
        <w:tblPrEx>
          <w:tblCellMar>
            <w:top w:w="0" w:type="dxa"/>
            <w:left w:w="108" w:type="dxa"/>
            <w:bottom w:w="0" w:type="dxa"/>
            <w:right w:w="108" w:type="dxa"/>
          </w:tblCellMar>
        </w:tblPrEx>
        <w:trPr>
          <w:trHeight w:val="285" w:hRule="atLeast"/>
          <w:jc w:val="center"/>
        </w:trPr>
        <w:tc>
          <w:tcPr>
            <w:tcW w:w="4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5</w:t>
            </w: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皮子</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kg</w:t>
            </w:r>
          </w:p>
        </w:tc>
        <w:tc>
          <w:tcPr>
            <w:tcW w:w="1843" w:type="dxa"/>
            <w:tcBorders>
              <w:top w:val="single" w:color="auto" w:sz="4" w:space="0"/>
              <w:left w:val="nil"/>
              <w:bottom w:val="single" w:color="auto" w:sz="4" w:space="0"/>
              <w:right w:val="single" w:color="000000"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自主</w:t>
            </w:r>
          </w:p>
        </w:tc>
        <w:tc>
          <w:tcPr>
            <w:tcW w:w="2717" w:type="dxa"/>
            <w:tcBorders>
              <w:top w:val="single" w:color="auto" w:sz="4" w:space="0"/>
              <w:left w:val="nil"/>
              <w:bottom w:val="single" w:color="auto" w:sz="4" w:space="0"/>
              <w:right w:val="single" w:color="auto" w:sz="4" w:space="0"/>
            </w:tcBorders>
            <w:noWrap/>
            <w:vAlign w:val="center"/>
          </w:tcPr>
          <w:p>
            <w:pPr>
              <w:widowControl/>
              <w:ind w:firstLine="220" w:firstLineChars="10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400kg</w:t>
            </w:r>
          </w:p>
        </w:tc>
        <w:tc>
          <w:tcPr>
            <w:tcW w:w="68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p>
        </w:tc>
        <w:tc>
          <w:tcPr>
            <w:tcW w:w="5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Cs w:val="21"/>
              </w:rPr>
            </w:pPr>
          </w:p>
        </w:tc>
      </w:tr>
      <w:bookmarkEnd w:id="1"/>
    </w:tbl>
    <w:p>
      <w:pPr>
        <w:spacing w:line="360" w:lineRule="auto"/>
        <w:ind w:firstLine="482" w:firstLineChars="200"/>
        <w:jc w:val="left"/>
        <w:rPr>
          <w:rFonts w:hint="eastAsia" w:ascii="仿宋" w:hAnsi="仿宋" w:eastAsia="仿宋" w:cs="仿宋"/>
          <w:b/>
          <w:kern w:val="0"/>
          <w:sz w:val="24"/>
        </w:rPr>
      </w:pPr>
      <w:bookmarkStart w:id="2" w:name="_Toc23169"/>
      <w:r>
        <w:rPr>
          <w:rStyle w:val="23"/>
          <w:rFonts w:hint="eastAsia" w:ascii="仿宋" w:hAnsi="仿宋" w:eastAsia="仿宋"/>
          <w:b/>
          <w:bCs/>
          <w:color w:val="auto"/>
          <w:sz w:val="24"/>
          <w:szCs w:val="24"/>
        </w:rPr>
        <w:t>（建议品牌为我校原使用品牌，除此品牌之外，响应供货商可以提供南通市区大型超市：麦德龙、山姆、大润发上架品牌物品，并在报价时提供上述超市有售的佐证材料。除以重量为计价单位外的品种，所供应货品的单品规格不得低于建议品牌。）</w:t>
      </w:r>
    </w:p>
    <w:bookmarkEnd w:id="2"/>
    <w:p>
      <w:pPr>
        <w:pStyle w:val="12"/>
        <w:spacing w:line="360" w:lineRule="auto"/>
        <w:ind w:firstLine="560" w:firstLineChars="200"/>
        <w:rPr>
          <w:rFonts w:hint="eastAsia" w:ascii="仿宋" w:hAnsi="仿宋" w:eastAsia="仿宋" w:cs="仿宋"/>
          <w:b w:val="0"/>
          <w:bCs w:val="0"/>
          <w:color w:val="auto"/>
          <w:kern w:val="0"/>
          <w:sz w:val="28"/>
          <w:szCs w:val="28"/>
          <w:lang w:val="zh-CN" w:eastAsia="zh-CN" w:bidi="ar-SA"/>
        </w:rPr>
      </w:pPr>
      <w:r>
        <w:rPr>
          <w:rFonts w:hint="eastAsia" w:ascii="仿宋" w:hAnsi="仿宋" w:eastAsia="仿宋" w:cs="仿宋"/>
          <w:b w:val="0"/>
          <w:bCs w:val="0"/>
          <w:color w:val="auto"/>
          <w:kern w:val="0"/>
          <w:sz w:val="28"/>
          <w:szCs w:val="28"/>
          <w:lang w:val="zh-CN" w:eastAsia="zh-CN" w:bidi="ar-SA"/>
        </w:rPr>
        <w:t>（七）相关事项约定</w:t>
      </w:r>
    </w:p>
    <w:p>
      <w:pPr>
        <w:pStyle w:val="12"/>
        <w:numPr>
          <w:ilvl w:val="0"/>
          <w:numId w:val="1"/>
        </w:numPr>
        <w:spacing w:line="360" w:lineRule="auto"/>
        <w:ind w:firstLine="560" w:firstLineChars="200"/>
        <w:rPr>
          <w:rFonts w:hint="eastAsia" w:ascii="仿宋" w:hAnsi="仿宋" w:eastAsia="仿宋" w:cs="仿宋"/>
          <w:color w:val="auto"/>
          <w:kern w:val="0"/>
          <w:sz w:val="28"/>
          <w:szCs w:val="28"/>
          <w:lang w:val="zh-CN" w:eastAsia="zh-CN" w:bidi="ar-SA"/>
        </w:rPr>
      </w:pPr>
      <w:r>
        <w:rPr>
          <w:rFonts w:hint="eastAsia" w:ascii="仿宋" w:hAnsi="仿宋" w:eastAsia="仿宋" w:cs="仿宋"/>
          <w:color w:val="auto"/>
          <w:kern w:val="0"/>
          <w:sz w:val="28"/>
          <w:szCs w:val="28"/>
          <w:lang w:val="zh-CN" w:eastAsia="zh-CN" w:bidi="ar-SA"/>
        </w:rPr>
        <w:t>上述表格中的采购数量为采购人结合以往需求设定的模拟需求量。评标时按该设定需求量计算投标总价总和作为价格评审依据；成交后履约过程中按实际需求量结算货款，成交单价在合同期内原则上不作调整。</w:t>
      </w:r>
    </w:p>
    <w:p>
      <w:pPr>
        <w:pStyle w:val="12"/>
        <w:numPr>
          <w:ilvl w:val="0"/>
          <w:numId w:val="1"/>
        </w:numPr>
        <w:spacing w:line="360" w:lineRule="auto"/>
        <w:ind w:firstLine="560" w:firstLineChars="200"/>
        <w:rPr>
          <w:rFonts w:hint="eastAsia" w:ascii="仿宋" w:hAnsi="仿宋" w:eastAsia="仿宋" w:cs="仿宋"/>
          <w:color w:val="auto"/>
          <w:kern w:val="0"/>
          <w:sz w:val="28"/>
          <w:szCs w:val="28"/>
          <w:lang w:val="zh-CN" w:eastAsia="zh-CN" w:bidi="ar-SA"/>
        </w:rPr>
      </w:pPr>
      <w:r>
        <w:rPr>
          <w:rFonts w:hint="eastAsia" w:ascii="仿宋" w:hAnsi="仿宋" w:eastAsia="仿宋" w:cs="仿宋"/>
          <w:color w:val="auto"/>
          <w:kern w:val="0"/>
          <w:sz w:val="28"/>
          <w:szCs w:val="28"/>
          <w:lang w:val="zh-CN" w:eastAsia="zh-CN" w:bidi="ar-SA"/>
        </w:rPr>
        <w:t>合同期内市场行情发生大的价格涨跌时（涨跌幅度超过</w:t>
      </w:r>
      <w:r>
        <w:rPr>
          <w:rFonts w:hint="eastAsia" w:ascii="仿宋" w:hAnsi="仿宋" w:eastAsia="仿宋" w:cs="仿宋"/>
          <w:color w:val="auto"/>
          <w:kern w:val="0"/>
          <w:sz w:val="28"/>
          <w:szCs w:val="28"/>
          <w:lang w:val="en-US" w:eastAsia="zh-CN" w:bidi="ar-SA"/>
        </w:rPr>
        <w:t>10</w:t>
      </w:r>
      <w:r>
        <w:rPr>
          <w:rFonts w:hint="eastAsia" w:ascii="仿宋" w:hAnsi="仿宋" w:eastAsia="仿宋" w:cs="仿宋"/>
          <w:color w:val="auto"/>
          <w:kern w:val="0"/>
          <w:sz w:val="28"/>
          <w:szCs w:val="28"/>
          <w:lang w:val="zh-CN" w:eastAsia="zh-CN" w:bidi="ar-SA"/>
        </w:rPr>
        <w:t>%），采购人可与供应商双方协商处理,并进行相应的结算单价调整。结算单价调整遵循以下原则：</w:t>
      </w:r>
    </w:p>
    <w:p>
      <w:pPr>
        <w:pStyle w:val="12"/>
        <w:spacing w:line="360" w:lineRule="auto"/>
        <w:ind w:firstLine="560" w:firstLineChars="200"/>
        <w:rPr>
          <w:rFonts w:hint="eastAsia" w:ascii="仿宋" w:hAnsi="仿宋" w:eastAsia="仿宋" w:cs="仿宋"/>
          <w:color w:val="auto"/>
          <w:kern w:val="0"/>
          <w:sz w:val="28"/>
          <w:szCs w:val="28"/>
          <w:lang w:val="zh-CN" w:eastAsia="zh-CN" w:bidi="ar-SA"/>
        </w:rPr>
      </w:pPr>
      <w:r>
        <w:rPr>
          <w:rFonts w:hint="eastAsia" w:ascii="仿宋" w:hAnsi="仿宋" w:eastAsia="仿宋" w:cs="仿宋"/>
          <w:color w:val="auto"/>
          <w:kern w:val="0"/>
          <w:sz w:val="28"/>
          <w:szCs w:val="28"/>
          <w:lang w:val="zh-CN" w:eastAsia="zh-CN" w:bidi="ar-SA"/>
        </w:rPr>
        <w:t>(1)确定市场行情涨跌幅度是以招标当月（202</w:t>
      </w:r>
      <w:r>
        <w:rPr>
          <w:rFonts w:hint="eastAsia" w:ascii="仿宋" w:hAnsi="仿宋" w:eastAsia="仿宋" w:cs="仿宋"/>
          <w:color w:val="auto"/>
          <w:kern w:val="0"/>
          <w:sz w:val="28"/>
          <w:szCs w:val="28"/>
          <w:lang w:val="en-US" w:eastAsia="zh-CN" w:bidi="ar-SA"/>
        </w:rPr>
        <w:t>2</w:t>
      </w:r>
      <w:r>
        <w:rPr>
          <w:rFonts w:hint="eastAsia" w:ascii="仿宋" w:hAnsi="仿宋" w:eastAsia="仿宋" w:cs="仿宋"/>
          <w:color w:val="auto"/>
          <w:kern w:val="0"/>
          <w:sz w:val="28"/>
          <w:szCs w:val="28"/>
          <w:lang w:val="zh-CN" w:eastAsia="zh-CN" w:bidi="ar-SA"/>
        </w:rPr>
        <w:t>年1月份）南通市发改委官网（http://fgw.nantong.gov.cn/）发布的《南通市区部分市场主副食品价格》对应产品全月算术平均值为基数，与合同执行月份南通市发改委官网发布的《南通市区部分市场主副食品价格》对应产品全月算术平均值进行对比测算。涨跌幅度超过10%时，结算单价可以在成交单价的基础上，按以南通市发改委发布的价格信息测算的涨跌幅度进行同比例调整。</w:t>
      </w:r>
    </w:p>
    <w:p>
      <w:pPr>
        <w:pStyle w:val="12"/>
        <w:spacing w:line="360" w:lineRule="auto"/>
        <w:ind w:firstLine="560" w:firstLineChars="200"/>
        <w:rPr>
          <w:rFonts w:hint="eastAsia" w:ascii="仿宋" w:hAnsi="仿宋" w:eastAsia="仿宋" w:cs="仿宋"/>
          <w:color w:val="auto"/>
          <w:kern w:val="0"/>
          <w:sz w:val="28"/>
          <w:szCs w:val="28"/>
          <w:lang w:val="zh-CN" w:eastAsia="zh-CN" w:bidi="ar-SA"/>
        </w:rPr>
      </w:pPr>
      <w:r>
        <w:rPr>
          <w:rFonts w:hint="eastAsia" w:ascii="仿宋" w:hAnsi="仿宋" w:eastAsia="仿宋" w:cs="仿宋"/>
          <w:color w:val="auto"/>
          <w:kern w:val="0"/>
          <w:sz w:val="28"/>
          <w:szCs w:val="28"/>
          <w:lang w:val="zh-CN" w:eastAsia="zh-CN" w:bidi="ar-SA"/>
        </w:rPr>
        <w:t>举例说明。如：假设鲜猪肉（大排）的成交单价为25元/斤。按</w:t>
      </w:r>
      <w:r>
        <w:rPr>
          <w:rFonts w:hint="eastAsia" w:ascii="仿宋" w:hAnsi="仿宋" w:eastAsia="仿宋" w:cs="仿宋"/>
          <w:color w:val="auto"/>
          <w:kern w:val="0"/>
          <w:sz w:val="28"/>
          <w:szCs w:val="28"/>
          <w:lang w:val="en-US" w:eastAsia="zh-CN" w:bidi="ar-SA"/>
        </w:rPr>
        <w:t>2022</w:t>
      </w:r>
      <w:r>
        <w:rPr>
          <w:rFonts w:hint="eastAsia" w:ascii="仿宋" w:hAnsi="仿宋" w:eastAsia="仿宋" w:cs="仿宋"/>
          <w:color w:val="auto"/>
          <w:kern w:val="0"/>
          <w:sz w:val="28"/>
          <w:szCs w:val="28"/>
          <w:lang w:val="zh-CN" w:eastAsia="zh-CN" w:bidi="ar-SA"/>
        </w:rPr>
        <w:t>年1月份南通市发改委官网发布的《南通市区部分市场主副食品价格》鲜猪肉（大排）的全月算术平均价为30元/斤，按202</w:t>
      </w:r>
      <w:r>
        <w:rPr>
          <w:rFonts w:hint="eastAsia" w:ascii="仿宋" w:hAnsi="仿宋" w:eastAsia="仿宋" w:cs="仿宋"/>
          <w:color w:val="auto"/>
          <w:kern w:val="0"/>
          <w:sz w:val="28"/>
          <w:szCs w:val="28"/>
          <w:lang w:val="en-US" w:eastAsia="zh-CN" w:bidi="ar-SA"/>
        </w:rPr>
        <w:t>2</w:t>
      </w:r>
      <w:r>
        <w:rPr>
          <w:rFonts w:hint="eastAsia" w:ascii="仿宋" w:hAnsi="仿宋" w:eastAsia="仿宋" w:cs="仿宋"/>
          <w:color w:val="auto"/>
          <w:kern w:val="0"/>
          <w:sz w:val="28"/>
          <w:szCs w:val="28"/>
          <w:lang w:val="zh-CN" w:eastAsia="zh-CN" w:bidi="ar-SA"/>
        </w:rPr>
        <w:t>年3月份南通市发改委官网发布的《南通市区部分市场主副食品价格》鲜猪肉（大排）的全月算术平均价为33元/斤，则该产品202</w:t>
      </w:r>
      <w:r>
        <w:rPr>
          <w:rFonts w:hint="eastAsia" w:ascii="仿宋" w:hAnsi="仿宋" w:eastAsia="仿宋" w:cs="仿宋"/>
          <w:color w:val="auto"/>
          <w:kern w:val="0"/>
          <w:sz w:val="28"/>
          <w:szCs w:val="28"/>
          <w:lang w:val="en-US" w:eastAsia="zh-CN" w:bidi="ar-SA"/>
        </w:rPr>
        <w:t>2</w:t>
      </w:r>
      <w:r>
        <w:rPr>
          <w:rFonts w:hint="eastAsia" w:ascii="仿宋" w:hAnsi="仿宋" w:eastAsia="仿宋" w:cs="仿宋"/>
          <w:color w:val="auto"/>
          <w:kern w:val="0"/>
          <w:sz w:val="28"/>
          <w:szCs w:val="28"/>
          <w:lang w:val="zh-CN" w:eastAsia="zh-CN" w:bidi="ar-SA"/>
        </w:rPr>
        <w:t>年3月份市场行情涨跌幅度未超过10%，结算时仍按成交单位25元/斤计算。如按202</w:t>
      </w:r>
      <w:r>
        <w:rPr>
          <w:rFonts w:hint="eastAsia" w:ascii="仿宋" w:hAnsi="仿宋" w:eastAsia="仿宋" w:cs="仿宋"/>
          <w:color w:val="auto"/>
          <w:kern w:val="0"/>
          <w:sz w:val="28"/>
          <w:szCs w:val="28"/>
          <w:lang w:val="en-US" w:eastAsia="zh-CN" w:bidi="ar-SA"/>
        </w:rPr>
        <w:t>2</w:t>
      </w:r>
      <w:r>
        <w:rPr>
          <w:rFonts w:hint="eastAsia" w:ascii="仿宋" w:hAnsi="仿宋" w:eastAsia="仿宋" w:cs="仿宋"/>
          <w:color w:val="auto"/>
          <w:kern w:val="0"/>
          <w:sz w:val="28"/>
          <w:szCs w:val="28"/>
          <w:lang w:val="zh-CN" w:eastAsia="zh-CN" w:bidi="ar-SA"/>
        </w:rPr>
        <w:t>年4月份南通市发改委官网发布的《南通市区部分市场主副食品价格》鲜猪肉（大排）的全月算术平均价为33.3元/斤，该产品202</w:t>
      </w:r>
      <w:r>
        <w:rPr>
          <w:rFonts w:hint="eastAsia" w:ascii="仿宋" w:hAnsi="仿宋" w:eastAsia="仿宋" w:cs="仿宋"/>
          <w:color w:val="auto"/>
          <w:kern w:val="0"/>
          <w:sz w:val="28"/>
          <w:szCs w:val="28"/>
          <w:lang w:val="en-US" w:eastAsia="zh-CN" w:bidi="ar-SA"/>
        </w:rPr>
        <w:t>2</w:t>
      </w:r>
      <w:r>
        <w:rPr>
          <w:rFonts w:hint="eastAsia" w:ascii="仿宋" w:hAnsi="仿宋" w:eastAsia="仿宋" w:cs="仿宋"/>
          <w:color w:val="auto"/>
          <w:kern w:val="0"/>
          <w:sz w:val="28"/>
          <w:szCs w:val="28"/>
          <w:lang w:val="zh-CN" w:eastAsia="zh-CN" w:bidi="ar-SA"/>
        </w:rPr>
        <w:t>年4月份市场行情涨幅为11%[（33.3-30)/30],则202</w:t>
      </w:r>
      <w:r>
        <w:rPr>
          <w:rFonts w:hint="eastAsia" w:ascii="仿宋" w:hAnsi="仿宋" w:eastAsia="仿宋" w:cs="仿宋"/>
          <w:color w:val="auto"/>
          <w:kern w:val="0"/>
          <w:sz w:val="28"/>
          <w:szCs w:val="28"/>
          <w:lang w:val="en-US" w:eastAsia="zh-CN" w:bidi="ar-SA"/>
        </w:rPr>
        <w:t>2</w:t>
      </w:r>
      <w:r>
        <w:rPr>
          <w:rFonts w:hint="eastAsia" w:ascii="仿宋" w:hAnsi="仿宋" w:eastAsia="仿宋" w:cs="仿宋"/>
          <w:color w:val="auto"/>
          <w:kern w:val="0"/>
          <w:sz w:val="28"/>
          <w:szCs w:val="28"/>
          <w:lang w:val="zh-CN" w:eastAsia="zh-CN" w:bidi="ar-SA"/>
        </w:rPr>
        <w:t>年4月份该产品结算单价可调整为27.78元/斤【25*（1+11%）】。反之，市场行情价格跌幅超过10%时，结算价格亦做相应调减处理。以此类推。</w:t>
      </w:r>
    </w:p>
    <w:p>
      <w:pPr>
        <w:pStyle w:val="12"/>
        <w:spacing w:line="360" w:lineRule="auto"/>
        <w:ind w:firstLine="560" w:firstLineChars="200"/>
        <w:rPr>
          <w:rFonts w:hint="eastAsia" w:ascii="仿宋" w:hAnsi="仿宋" w:eastAsia="仿宋" w:cs="仿宋"/>
          <w:color w:val="auto"/>
          <w:kern w:val="0"/>
          <w:sz w:val="28"/>
          <w:szCs w:val="28"/>
          <w:lang w:val="zh-CN" w:eastAsia="zh-CN" w:bidi="ar-SA"/>
        </w:rPr>
      </w:pPr>
      <w:r>
        <w:rPr>
          <w:rFonts w:hint="eastAsia" w:ascii="仿宋" w:hAnsi="仿宋" w:eastAsia="仿宋" w:cs="仿宋"/>
          <w:color w:val="auto"/>
          <w:kern w:val="0"/>
          <w:sz w:val="28"/>
          <w:szCs w:val="28"/>
          <w:lang w:val="zh-CN" w:eastAsia="zh-CN" w:bidi="ar-SA"/>
        </w:rPr>
        <w:t>(2)结算价调整遵循“谁主张、谁举证”的原则。</w:t>
      </w:r>
    </w:p>
    <w:p>
      <w:pPr>
        <w:pStyle w:val="12"/>
        <w:spacing w:line="360" w:lineRule="auto"/>
        <w:ind w:firstLine="560" w:firstLineChars="200"/>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zh-CN" w:eastAsia="zh-CN" w:bidi="ar-SA"/>
        </w:rPr>
        <w:t>（3）南通市发改委官网发布的《南通市区部分市场主副食品价格》中未涉及的产品，不在中标后履行合同过程中可进行结算单价调整的对象。</w:t>
      </w:r>
    </w:p>
    <w:p>
      <w:pPr>
        <w:pStyle w:val="12"/>
        <w:spacing w:line="360" w:lineRule="auto"/>
        <w:ind w:firstLine="562" w:firstLineChars="200"/>
        <w:rPr>
          <w:rFonts w:hint="eastAsia" w:ascii="仿宋" w:hAnsi="仿宋" w:eastAsia="仿宋" w:cs="仿宋"/>
          <w:b/>
          <w:bCs/>
          <w:color w:val="auto"/>
          <w:kern w:val="0"/>
          <w:sz w:val="28"/>
          <w:szCs w:val="28"/>
          <w:lang w:val="zh-CN" w:eastAsia="zh-CN" w:bidi="ar-SA"/>
        </w:rPr>
      </w:pPr>
      <w:r>
        <w:rPr>
          <w:rFonts w:hint="eastAsia" w:ascii="仿宋" w:hAnsi="仿宋" w:eastAsia="仿宋" w:cs="仿宋"/>
          <w:b/>
          <w:bCs/>
          <w:color w:val="auto"/>
          <w:kern w:val="0"/>
          <w:sz w:val="28"/>
          <w:szCs w:val="28"/>
          <w:lang w:val="en-US" w:eastAsia="zh-CN" w:bidi="ar-SA"/>
        </w:rPr>
        <w:t>三</w:t>
      </w:r>
      <w:r>
        <w:rPr>
          <w:rFonts w:hint="eastAsia" w:ascii="仿宋" w:hAnsi="仿宋" w:eastAsia="仿宋" w:cs="仿宋"/>
          <w:b/>
          <w:bCs/>
          <w:color w:val="auto"/>
          <w:kern w:val="0"/>
          <w:sz w:val="28"/>
          <w:szCs w:val="28"/>
          <w:lang w:val="zh-CN" w:eastAsia="zh-CN" w:bidi="ar-SA"/>
        </w:rPr>
        <w:t>、履约保证金</w:t>
      </w:r>
    </w:p>
    <w:p>
      <w:pPr>
        <w:pStyle w:val="12"/>
        <w:spacing w:line="360" w:lineRule="auto"/>
        <w:ind w:firstLine="560" w:firstLineChars="200"/>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zh-CN" w:eastAsia="zh-CN" w:bidi="ar-SA"/>
        </w:rPr>
        <w:t>成交供应商在与采购人签订合同前，需缴纳</w:t>
      </w:r>
      <w:r>
        <w:rPr>
          <w:rFonts w:hint="eastAsia" w:ascii="仿宋" w:hAnsi="仿宋" w:eastAsia="仿宋" w:cs="仿宋"/>
          <w:color w:val="auto"/>
          <w:kern w:val="0"/>
          <w:sz w:val="28"/>
          <w:szCs w:val="28"/>
          <w:lang w:val="en-US" w:eastAsia="zh-CN" w:bidi="ar-SA"/>
        </w:rPr>
        <w:t>1万元履约保证金至采购人账户</w:t>
      </w:r>
      <w:r>
        <w:rPr>
          <w:rFonts w:hint="eastAsia" w:ascii="仿宋" w:hAnsi="仿宋" w:eastAsia="仿宋" w:cs="仿宋"/>
          <w:color w:val="auto"/>
          <w:kern w:val="0"/>
          <w:sz w:val="28"/>
          <w:szCs w:val="28"/>
          <w:lang w:val="zh-CN" w:eastAsia="zh-CN" w:bidi="ar-SA"/>
        </w:rPr>
        <w:t>，在合同履行完毕无其他问题时一次性退还（无息）。</w:t>
      </w:r>
    </w:p>
    <w:p>
      <w:pPr>
        <w:pStyle w:val="12"/>
        <w:spacing w:line="360" w:lineRule="auto"/>
        <w:ind w:firstLine="562" w:firstLineChars="200"/>
        <w:rPr>
          <w:rFonts w:hint="eastAsia" w:ascii="仿宋" w:hAnsi="仿宋" w:eastAsia="仿宋" w:cs="仿宋"/>
          <w:b/>
          <w:bCs/>
          <w:color w:val="auto"/>
          <w:kern w:val="0"/>
          <w:sz w:val="28"/>
          <w:szCs w:val="28"/>
          <w:lang w:val="zh-CN" w:eastAsia="zh-CN" w:bidi="ar-SA"/>
        </w:rPr>
      </w:pPr>
      <w:r>
        <w:rPr>
          <w:rFonts w:hint="eastAsia" w:ascii="仿宋" w:hAnsi="仿宋" w:eastAsia="仿宋" w:cs="仿宋"/>
          <w:b/>
          <w:bCs/>
          <w:color w:val="auto"/>
          <w:kern w:val="0"/>
          <w:sz w:val="28"/>
          <w:szCs w:val="28"/>
          <w:lang w:val="en-US" w:eastAsia="zh-CN" w:bidi="ar-SA"/>
        </w:rPr>
        <w:t>四</w:t>
      </w:r>
      <w:r>
        <w:rPr>
          <w:rFonts w:hint="eastAsia" w:ascii="仿宋" w:hAnsi="仿宋" w:eastAsia="仿宋" w:cs="仿宋"/>
          <w:b/>
          <w:bCs/>
          <w:color w:val="auto"/>
          <w:kern w:val="0"/>
          <w:sz w:val="28"/>
          <w:szCs w:val="28"/>
          <w:lang w:val="zh-CN" w:eastAsia="zh-CN" w:bidi="ar-SA"/>
        </w:rPr>
        <w:t>、开标、评标</w:t>
      </w:r>
    </w:p>
    <w:p>
      <w:pPr>
        <w:spacing w:after="0" w:line="540" w:lineRule="exact"/>
        <w:ind w:firstLine="560" w:firstLineChars="200"/>
        <w:jc w:val="both"/>
        <w:rPr>
          <w:rFonts w:ascii="仿宋" w:hAnsi="仿宋" w:eastAsia="仿宋" w:cs="仿宋"/>
          <w:sz w:val="28"/>
          <w:szCs w:val="28"/>
        </w:rPr>
      </w:pPr>
      <w:r>
        <w:rPr>
          <w:rFonts w:hint="eastAsia" w:ascii="仿宋" w:hAnsi="仿宋" w:eastAsia="仿宋" w:cs="仿宋"/>
          <w:sz w:val="28"/>
          <w:szCs w:val="28"/>
          <w:lang w:val="zh-CN"/>
        </w:rPr>
        <w:t>1、时间：</w:t>
      </w:r>
      <w:r>
        <w:rPr>
          <w:rFonts w:hint="eastAsia" w:ascii="仿宋" w:hAnsi="仿宋" w:eastAsia="仿宋" w:cs="仿宋"/>
          <w:b/>
          <w:bCs/>
          <w:sz w:val="28"/>
          <w:szCs w:val="28"/>
          <w:u w:val="single"/>
          <w:lang w:val="zh-CN"/>
        </w:rPr>
        <w:t>2022年</w:t>
      </w:r>
      <w:r>
        <w:rPr>
          <w:rFonts w:hint="eastAsia" w:ascii="仿宋" w:hAnsi="仿宋" w:eastAsia="仿宋" w:cs="仿宋"/>
          <w:b/>
          <w:bCs/>
          <w:sz w:val="28"/>
          <w:szCs w:val="28"/>
          <w:u w:val="single"/>
          <w:lang w:val="en-US" w:eastAsia="zh-CN"/>
        </w:rPr>
        <w:t>01</w:t>
      </w:r>
      <w:r>
        <w:rPr>
          <w:rFonts w:hint="eastAsia" w:ascii="仿宋" w:hAnsi="仿宋" w:eastAsia="仿宋" w:cs="仿宋"/>
          <w:b/>
          <w:bCs/>
          <w:sz w:val="28"/>
          <w:szCs w:val="28"/>
          <w:u w:val="single"/>
          <w:lang w:val="zh-CN"/>
        </w:rPr>
        <w:t>月</w:t>
      </w:r>
      <w:r>
        <w:rPr>
          <w:rFonts w:hint="eastAsia" w:ascii="仿宋" w:hAnsi="仿宋" w:eastAsia="仿宋" w:cs="仿宋"/>
          <w:b/>
          <w:bCs/>
          <w:sz w:val="28"/>
          <w:szCs w:val="28"/>
          <w:u w:val="single"/>
          <w:lang w:val="en-US" w:eastAsia="zh-CN"/>
        </w:rPr>
        <w:t>28</w:t>
      </w:r>
      <w:r>
        <w:rPr>
          <w:rFonts w:hint="eastAsia" w:ascii="仿宋" w:hAnsi="仿宋" w:eastAsia="仿宋" w:cs="仿宋"/>
          <w:b/>
          <w:bCs/>
          <w:sz w:val="28"/>
          <w:szCs w:val="28"/>
          <w:u w:val="single"/>
          <w:lang w:val="zh-CN"/>
        </w:rPr>
        <w:t>日 9时30 分（北京时间）</w:t>
      </w:r>
      <w:r>
        <w:rPr>
          <w:rFonts w:hint="eastAsia" w:ascii="仿宋" w:hAnsi="仿宋" w:eastAsia="仿宋" w:cs="仿宋"/>
          <w:b/>
          <w:bCs/>
          <w:sz w:val="28"/>
          <w:szCs w:val="28"/>
          <w:u w:val="single"/>
        </w:rPr>
        <w:t>;</w:t>
      </w:r>
    </w:p>
    <w:p>
      <w:pPr>
        <w:spacing w:after="0" w:line="540" w:lineRule="exact"/>
        <w:ind w:firstLine="560" w:firstLineChars="200"/>
        <w:jc w:val="both"/>
        <w:rPr>
          <w:rFonts w:ascii="仿宋" w:hAnsi="仿宋" w:eastAsia="仿宋" w:cs="仿宋"/>
          <w:b/>
          <w:bCs/>
          <w:sz w:val="28"/>
          <w:szCs w:val="28"/>
          <w:u w:val="single"/>
          <w:lang w:val="zh-CN"/>
        </w:rPr>
      </w:pPr>
      <w:r>
        <w:rPr>
          <w:rFonts w:hint="eastAsia" w:ascii="仿宋" w:hAnsi="仿宋" w:eastAsia="仿宋" w:cs="仿宋"/>
          <w:sz w:val="28"/>
          <w:szCs w:val="28"/>
          <w:lang w:val="zh-CN"/>
        </w:rPr>
        <w:t>2、地点：</w:t>
      </w:r>
      <w:r>
        <w:rPr>
          <w:rFonts w:hint="eastAsia" w:ascii="仿宋" w:hAnsi="仿宋" w:eastAsia="仿宋" w:cs="仿宋"/>
          <w:color w:val="333333"/>
          <w:spacing w:val="7"/>
          <w:sz w:val="28"/>
          <w:szCs w:val="28"/>
          <w:shd w:val="clear" w:color="auto" w:fill="FFFFFF"/>
          <w:lang w:eastAsia="zh-CN"/>
        </w:rPr>
        <w:t>崇川区濠南路32号大院3号楼3楼</w:t>
      </w:r>
      <w:r>
        <w:rPr>
          <w:rFonts w:hint="eastAsia" w:ascii="仿宋" w:hAnsi="仿宋" w:eastAsia="仿宋" w:cs="仿宋"/>
          <w:sz w:val="28"/>
          <w:szCs w:val="28"/>
          <w:lang w:val="zh-CN"/>
        </w:rPr>
        <w:t>，如有变动另行通知。</w:t>
      </w:r>
    </w:p>
    <w:p>
      <w:pPr>
        <w:spacing w:after="0" w:line="540" w:lineRule="exact"/>
        <w:ind w:firstLine="560" w:firstLineChars="200"/>
        <w:jc w:val="both"/>
        <w:rPr>
          <w:rFonts w:ascii="仿宋" w:hAnsi="仿宋" w:eastAsia="仿宋" w:cs="仿宋"/>
          <w:b/>
          <w:bCs/>
          <w:sz w:val="28"/>
          <w:szCs w:val="28"/>
          <w:lang w:val="zh-CN"/>
        </w:rPr>
      </w:pPr>
      <w:r>
        <w:rPr>
          <w:rFonts w:hint="eastAsia" w:ascii="仿宋" w:hAnsi="仿宋" w:eastAsia="仿宋" w:cs="仿宋"/>
          <w:sz w:val="28"/>
          <w:szCs w:val="28"/>
          <w:lang w:val="zh-CN"/>
        </w:rPr>
        <w:t>3、</w:t>
      </w:r>
      <w:r>
        <w:rPr>
          <w:rFonts w:hint="eastAsia" w:ascii="仿宋" w:hAnsi="仿宋" w:eastAsia="仿宋" w:cs="仿宋"/>
          <w:b/>
          <w:bCs/>
          <w:sz w:val="28"/>
          <w:szCs w:val="28"/>
          <w:lang w:val="zh-CN"/>
        </w:rPr>
        <w:t>评标流程:评标委员会将根据</w:t>
      </w:r>
      <w:r>
        <w:rPr>
          <w:rFonts w:hint="eastAsia" w:ascii="仿宋" w:hAnsi="仿宋" w:eastAsia="仿宋" w:cs="仿宋"/>
          <w:b/>
          <w:bCs/>
          <w:sz w:val="28"/>
          <w:szCs w:val="28"/>
        </w:rPr>
        <w:t>询价</w:t>
      </w:r>
      <w:r>
        <w:rPr>
          <w:rFonts w:hint="eastAsia" w:ascii="仿宋" w:hAnsi="仿宋" w:eastAsia="仿宋" w:cs="仿宋"/>
          <w:b/>
          <w:bCs/>
          <w:sz w:val="28"/>
          <w:szCs w:val="28"/>
          <w:lang w:val="zh-CN"/>
        </w:rPr>
        <w:t>文件相关标准对供应商的资格进行审查，审查通过方可参与项目的价格评标。符合要求的前提下，报价最低者成交,报价如有相同者，抽签确定成交供应商。</w:t>
      </w:r>
    </w:p>
    <w:p>
      <w:pPr>
        <w:spacing w:after="0" w:line="540" w:lineRule="exact"/>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4、开标顺序：资格审查</w:t>
      </w:r>
      <w:r>
        <w:rPr>
          <w:rFonts w:hint="default" w:ascii="Arial" w:hAnsi="Arial" w:eastAsia="仿宋" w:cs="Arial"/>
          <w:sz w:val="28"/>
          <w:szCs w:val="28"/>
          <w:lang w:val="en-US" w:eastAsia="zh-CN"/>
        </w:rPr>
        <w:t>→</w:t>
      </w:r>
      <w:r>
        <w:rPr>
          <w:rFonts w:hint="eastAsia" w:ascii="Arial" w:hAnsi="Arial" w:eastAsia="仿宋" w:cs="Arial"/>
          <w:sz w:val="28"/>
          <w:szCs w:val="28"/>
          <w:lang w:val="en-US" w:eastAsia="zh-CN"/>
        </w:rPr>
        <w:t>商务标</w:t>
      </w:r>
      <w:r>
        <w:rPr>
          <w:rFonts w:hint="default" w:ascii="Arial" w:hAnsi="Arial" w:eastAsia="仿宋" w:cs="Arial"/>
          <w:sz w:val="28"/>
          <w:szCs w:val="28"/>
          <w:lang w:val="en-US" w:eastAsia="zh-CN"/>
        </w:rPr>
        <w:t>→</w:t>
      </w:r>
      <w:r>
        <w:rPr>
          <w:rFonts w:hint="eastAsia" w:ascii="Arial" w:hAnsi="Arial" w:eastAsia="仿宋" w:cs="Arial"/>
          <w:sz w:val="28"/>
          <w:szCs w:val="28"/>
          <w:lang w:val="en-US" w:eastAsia="zh-CN"/>
        </w:rPr>
        <w:t>确定第一中标候选人；</w:t>
      </w:r>
    </w:p>
    <w:p>
      <w:pPr>
        <w:spacing w:after="0" w:line="540" w:lineRule="exact"/>
        <w:ind w:firstLine="560" w:firstLineChars="200"/>
        <w:jc w:val="both"/>
        <w:rPr>
          <w:rFonts w:hint="eastAsia"/>
          <w:lang w:val="zh-CN"/>
        </w:rPr>
      </w:pPr>
      <w:r>
        <w:rPr>
          <w:rFonts w:hint="eastAsia" w:ascii="仿宋" w:hAnsi="仿宋" w:eastAsia="仿宋" w:cs="仿宋"/>
          <w:sz w:val="28"/>
          <w:szCs w:val="28"/>
          <w:lang w:val="en-US" w:eastAsia="zh-CN"/>
        </w:rPr>
        <w:t>5</w:t>
      </w:r>
      <w:r>
        <w:rPr>
          <w:rFonts w:hint="eastAsia" w:ascii="仿宋" w:hAnsi="仿宋" w:eastAsia="仿宋" w:cs="仿宋"/>
          <w:sz w:val="28"/>
          <w:szCs w:val="28"/>
          <w:lang w:val="zh-CN"/>
        </w:rPr>
        <w:t>、评标委员会负责具体评标事务。</w:t>
      </w:r>
    </w:p>
    <w:p>
      <w:pPr>
        <w:spacing w:after="0" w:line="54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lang w:val="en-US" w:eastAsia="zh-CN"/>
        </w:rPr>
        <w:t>五</w:t>
      </w:r>
      <w:r>
        <w:rPr>
          <w:rFonts w:hint="eastAsia" w:ascii="仿宋" w:hAnsi="仿宋" w:eastAsia="仿宋" w:cs="仿宋"/>
          <w:b/>
          <w:bCs/>
          <w:sz w:val="28"/>
          <w:szCs w:val="28"/>
        </w:rPr>
        <w:t>、</w:t>
      </w:r>
      <w:r>
        <w:rPr>
          <w:rFonts w:hint="eastAsia" w:ascii="仿宋" w:hAnsi="仿宋" w:eastAsia="仿宋" w:cs="仿宋"/>
          <w:b/>
          <w:bCs/>
          <w:sz w:val="28"/>
          <w:szCs w:val="28"/>
          <w:lang w:val="zh-CN"/>
        </w:rPr>
        <w:t>投标费用</w:t>
      </w:r>
    </w:p>
    <w:p>
      <w:pPr>
        <w:spacing w:after="0" w:line="54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rPr>
        <w:t>1、无论询价过程和结果如何，参加询价的响应人自行承担与本次项目询价有关的全部费用。询价文件售价每份300元，在递交询价响应文件的同时提</w:t>
      </w:r>
      <w:r>
        <w:rPr>
          <w:rFonts w:hint="eastAsia" w:ascii="仿宋" w:hAnsi="仿宋" w:eastAsia="仿宋" w:cs="仿宋"/>
          <w:sz w:val="28"/>
          <w:szCs w:val="28"/>
          <w:highlight w:val="none"/>
        </w:rPr>
        <w:t>交给招标代理机构。</w:t>
      </w:r>
    </w:p>
    <w:p>
      <w:pPr>
        <w:spacing w:after="0" w:line="54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2、本项目专家费用按南通市财政局通财购（2018）18号文件执行</w:t>
      </w:r>
      <w:r>
        <w:rPr>
          <w:rFonts w:hint="eastAsia" w:ascii="仿宋" w:hAnsi="仿宋" w:eastAsia="仿宋" w:cs="仿宋"/>
          <w:sz w:val="28"/>
          <w:szCs w:val="28"/>
          <w:highlight w:val="none"/>
          <w:lang w:val="en-US" w:eastAsia="zh-CN"/>
        </w:rPr>
        <w:t>,由成交供应商承担，</w:t>
      </w:r>
      <w:r>
        <w:rPr>
          <w:rFonts w:hint="eastAsia" w:ascii="仿宋" w:hAnsi="仿宋" w:eastAsia="仿宋" w:cs="仿宋"/>
          <w:sz w:val="28"/>
          <w:szCs w:val="28"/>
          <w:highlight w:val="none"/>
        </w:rPr>
        <w:t>供应商须综合考虑在响应报价内</w:t>
      </w:r>
      <w:r>
        <w:rPr>
          <w:rFonts w:hint="eastAsia" w:ascii="仿宋" w:hAnsi="仿宋" w:eastAsia="仿宋" w:cs="仿宋"/>
          <w:sz w:val="28"/>
          <w:szCs w:val="28"/>
          <w:highlight w:val="none"/>
          <w:lang w:eastAsia="zh-CN"/>
        </w:rPr>
        <w:t>（不单列）</w:t>
      </w:r>
      <w:r>
        <w:rPr>
          <w:rFonts w:hint="eastAsia" w:ascii="仿宋" w:hAnsi="仿宋" w:eastAsia="仿宋" w:cs="仿宋"/>
          <w:sz w:val="28"/>
          <w:szCs w:val="28"/>
          <w:highlight w:val="none"/>
        </w:rPr>
        <w:t>，成交供应商在</w:t>
      </w:r>
      <w:r>
        <w:rPr>
          <w:rFonts w:hint="eastAsia" w:ascii="仿宋" w:hAnsi="仿宋" w:eastAsia="仿宋" w:cs="仿宋"/>
          <w:sz w:val="28"/>
          <w:szCs w:val="28"/>
          <w:highlight w:val="none"/>
          <w:lang w:eastAsia="zh-CN"/>
        </w:rPr>
        <w:t>开标现场定标后</w:t>
      </w:r>
      <w:r>
        <w:rPr>
          <w:rFonts w:hint="eastAsia" w:ascii="仿宋" w:hAnsi="仿宋" w:eastAsia="仿宋" w:cs="仿宋"/>
          <w:sz w:val="28"/>
          <w:szCs w:val="28"/>
          <w:highlight w:val="none"/>
        </w:rPr>
        <w:t>支付给代理机构。</w:t>
      </w:r>
    </w:p>
    <w:p>
      <w:pPr>
        <w:spacing w:after="0" w:line="54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highlight w:val="none"/>
        </w:rPr>
        <w:t>3、询价文件未列明，而投标供应商</w:t>
      </w:r>
      <w:r>
        <w:rPr>
          <w:rFonts w:hint="eastAsia" w:ascii="仿宋" w:hAnsi="仿宋" w:eastAsia="仿宋" w:cs="仿宋"/>
          <w:sz w:val="28"/>
          <w:szCs w:val="28"/>
        </w:rPr>
        <w:t>认为必需的费用也需列入报价。</w:t>
      </w:r>
    </w:p>
    <w:p>
      <w:pPr>
        <w:spacing w:after="0" w:line="54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lang w:val="en-US" w:eastAsia="zh-CN"/>
        </w:rPr>
        <w:t>六</w:t>
      </w:r>
      <w:r>
        <w:rPr>
          <w:rFonts w:hint="eastAsia" w:ascii="仿宋" w:hAnsi="仿宋" w:eastAsia="仿宋" w:cs="仿宋"/>
          <w:b/>
          <w:bCs/>
          <w:sz w:val="28"/>
          <w:szCs w:val="28"/>
        </w:rPr>
        <w:t>、</w:t>
      </w:r>
      <w:r>
        <w:rPr>
          <w:rFonts w:hint="eastAsia" w:ascii="仿宋" w:hAnsi="仿宋" w:eastAsia="仿宋" w:cs="仿宋"/>
          <w:b/>
          <w:bCs/>
          <w:sz w:val="28"/>
          <w:szCs w:val="28"/>
          <w:lang w:val="zh-CN"/>
        </w:rPr>
        <w:t>询价响应文件的编写及装订</w:t>
      </w:r>
    </w:p>
    <w:p>
      <w:pPr>
        <w:spacing w:after="0" w:line="54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（一）询价响应文件应包括全部下列内容（以下内容不得缺项，如有缺项视为无效响应）：</w:t>
      </w:r>
    </w:p>
    <w:p>
      <w:pPr>
        <w:spacing w:after="0" w:line="54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A、资格审查文件：</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1．提供法定代表人身份证明及本人身份证复印件；非法定代表人参加询价的，另需提供法人委托书、被委托人身份证复印件；</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2．有效的营业执照（副本）的复印件，</w:t>
      </w:r>
      <w:r>
        <w:rPr>
          <w:rFonts w:hint="eastAsia" w:ascii="仿宋" w:hAnsi="仿宋" w:eastAsia="仿宋" w:cs="仿宋"/>
          <w:sz w:val="28"/>
          <w:szCs w:val="28"/>
          <w:lang w:val="zh-CN" w:eastAsia="zh-CN"/>
        </w:rPr>
        <w:t>经营范围含有食品销售或生产相关内容</w:t>
      </w:r>
      <w:r>
        <w:rPr>
          <w:rFonts w:hint="eastAsia" w:ascii="仿宋" w:hAnsi="仿宋" w:eastAsia="仿宋" w:cs="仿宋"/>
          <w:sz w:val="28"/>
          <w:szCs w:val="28"/>
          <w:lang w:val="zh-CN"/>
        </w:rPr>
        <w:t>；</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3</w:t>
      </w:r>
      <w:r>
        <w:rPr>
          <w:rFonts w:hint="eastAsia" w:ascii="仿宋" w:hAnsi="仿宋" w:eastAsia="仿宋" w:cs="仿宋"/>
          <w:sz w:val="28"/>
          <w:szCs w:val="28"/>
          <w:lang w:val="en-US" w:eastAsia="zh-CN"/>
        </w:rPr>
        <w:t>.</w:t>
      </w:r>
      <w:r>
        <w:rPr>
          <w:rFonts w:hint="eastAsia" w:ascii="仿宋" w:hAnsi="仿宋" w:eastAsia="仿宋" w:cs="仿宋"/>
          <w:sz w:val="28"/>
          <w:szCs w:val="28"/>
          <w:lang w:val="zh-CN"/>
        </w:rPr>
        <w:t>无重大违法记录声明；</w:t>
      </w:r>
    </w:p>
    <w:p>
      <w:pPr>
        <w:spacing w:after="0" w:line="540" w:lineRule="exact"/>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lang w:val="zh-CN"/>
        </w:rPr>
        <w:t>符合政府采购法二十二条的书面声明</w:t>
      </w:r>
      <w:r>
        <w:rPr>
          <w:rFonts w:hint="eastAsia" w:ascii="仿宋" w:hAnsi="仿宋" w:eastAsia="仿宋" w:cs="仿宋"/>
          <w:sz w:val="28"/>
          <w:szCs w:val="28"/>
          <w:lang w:val="zh-CN" w:eastAsia="zh-CN"/>
        </w:rPr>
        <w:t>；</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en-US" w:eastAsia="zh-CN"/>
        </w:rPr>
        <w:t>5.</w:t>
      </w:r>
      <w:r>
        <w:rPr>
          <w:rFonts w:hint="eastAsia" w:ascii="仿宋" w:hAnsi="仿宋" w:eastAsia="仿宋" w:cs="仿宋"/>
          <w:sz w:val="28"/>
          <w:szCs w:val="28"/>
          <w:lang w:val="zh-CN"/>
        </w:rPr>
        <w:t>供货承诺书</w:t>
      </w:r>
    </w:p>
    <w:p>
      <w:pPr>
        <w:spacing w:after="0" w:line="540" w:lineRule="exact"/>
        <w:ind w:firstLine="560" w:firstLineChars="200"/>
        <w:jc w:val="both"/>
        <w:rPr>
          <w:rFonts w:hint="eastAsia" w:ascii="仿宋" w:hAnsi="仿宋" w:eastAsia="仿宋" w:cs="仿宋"/>
          <w:sz w:val="28"/>
          <w:szCs w:val="28"/>
          <w:lang w:val="zh-CN"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lang w:val="zh-CN" w:eastAsia="zh-CN"/>
        </w:rPr>
        <w:t>.提供供应商有效的食品经营许可证或食品生产许可证复印件；</w:t>
      </w:r>
    </w:p>
    <w:p>
      <w:pPr>
        <w:spacing w:after="0" w:line="540" w:lineRule="exact"/>
        <w:ind w:firstLine="560" w:firstLineChars="200"/>
        <w:jc w:val="both"/>
        <w:rPr>
          <w:rFonts w:hint="eastAsia" w:ascii="仿宋" w:hAnsi="仿宋" w:eastAsia="仿宋" w:cs="仿宋"/>
          <w:sz w:val="28"/>
          <w:szCs w:val="28"/>
          <w:lang w:val="zh-CN"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lang w:val="zh-CN" w:eastAsia="zh-CN"/>
        </w:rPr>
        <w:t>.拟派本项目配送人员为投标供应商企业正式员工，具备有效的健康证（提供拟派人员名单、身份证复印件、劳动合同复印件、健康证明复印件）；</w:t>
      </w:r>
    </w:p>
    <w:p>
      <w:pPr>
        <w:spacing w:after="0" w:line="540" w:lineRule="exact"/>
        <w:ind w:firstLine="560" w:firstLineChars="200"/>
        <w:jc w:val="both"/>
        <w:rPr>
          <w:rFonts w:hint="eastAsia" w:ascii="仿宋" w:hAnsi="仿宋" w:eastAsia="仿宋" w:cs="仿宋"/>
          <w:sz w:val="28"/>
          <w:szCs w:val="28"/>
          <w:lang w:val="zh-CN" w:eastAsia="zh-CN"/>
        </w:rPr>
      </w:pPr>
      <w:r>
        <w:rPr>
          <w:rFonts w:hint="eastAsia" w:ascii="仿宋" w:hAnsi="仿宋" w:eastAsia="仿宋" w:cs="仿宋"/>
          <w:sz w:val="28"/>
          <w:szCs w:val="28"/>
          <w:lang w:val="en-US" w:eastAsia="zh-CN"/>
        </w:rPr>
        <w:t>8</w:t>
      </w:r>
      <w:r>
        <w:rPr>
          <w:rFonts w:hint="eastAsia" w:ascii="仿宋" w:hAnsi="仿宋" w:eastAsia="仿宋" w:cs="仿宋"/>
          <w:sz w:val="28"/>
          <w:szCs w:val="28"/>
          <w:lang w:val="zh-CN" w:eastAsia="zh-CN"/>
        </w:rPr>
        <w:t>.供应商在合同履约过程中，没有违约现象，没有单方面不执行合同条款的先例（提供书面承诺，格式自拟。经查实投标人承诺不实的视为虚假投标）；</w:t>
      </w:r>
    </w:p>
    <w:p>
      <w:pPr>
        <w:spacing w:after="0" w:line="540" w:lineRule="exact"/>
        <w:ind w:firstLine="560" w:firstLineChars="200"/>
        <w:jc w:val="both"/>
        <w:rPr>
          <w:rFonts w:hint="eastAsia" w:ascii="仿宋" w:hAnsi="仿宋" w:eastAsia="仿宋" w:cs="仿宋"/>
          <w:sz w:val="28"/>
          <w:szCs w:val="28"/>
          <w:lang w:val="zh-CN" w:eastAsia="zh-CN"/>
        </w:rPr>
      </w:pPr>
      <w:r>
        <w:rPr>
          <w:rFonts w:hint="eastAsia" w:ascii="仿宋" w:hAnsi="仿宋" w:eastAsia="仿宋" w:cs="仿宋"/>
          <w:sz w:val="28"/>
          <w:szCs w:val="28"/>
          <w:lang w:val="en-US" w:eastAsia="zh-CN"/>
        </w:rPr>
        <w:t>9</w:t>
      </w:r>
      <w:r>
        <w:rPr>
          <w:rFonts w:hint="eastAsia" w:ascii="仿宋" w:hAnsi="仿宋" w:eastAsia="仿宋" w:cs="仿宋"/>
          <w:sz w:val="28"/>
          <w:szCs w:val="28"/>
          <w:lang w:val="zh-CN" w:eastAsia="zh-CN"/>
        </w:rPr>
        <w:t>.供应商企业业绩，提供2018年1月至今有关类似成交业绩，投标时提供成交合同及发票复印件（原件带至评标点，备查）</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en-US" w:eastAsia="zh-CN"/>
        </w:rPr>
        <w:t>10</w:t>
      </w:r>
      <w:r>
        <w:rPr>
          <w:rFonts w:hint="eastAsia" w:ascii="仿宋" w:hAnsi="仿宋" w:eastAsia="仿宋" w:cs="仿宋"/>
          <w:sz w:val="28"/>
          <w:szCs w:val="28"/>
          <w:lang w:val="zh-CN"/>
        </w:rPr>
        <w:t>.供应商资格要求提供的其他文件；</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en-US" w:eastAsia="zh-CN"/>
        </w:rPr>
        <w:t>11</w:t>
      </w:r>
      <w:r>
        <w:rPr>
          <w:rFonts w:hint="eastAsia" w:ascii="仿宋" w:hAnsi="仿宋" w:eastAsia="仿宋" w:cs="仿宋"/>
          <w:sz w:val="28"/>
          <w:szCs w:val="28"/>
          <w:lang w:val="zh-CN"/>
        </w:rPr>
        <w:t>.资格审查文件相关表格。</w:t>
      </w:r>
    </w:p>
    <w:p>
      <w:pPr>
        <w:spacing w:after="0" w:line="540" w:lineRule="exact"/>
        <w:ind w:firstLine="562" w:firstLineChars="200"/>
        <w:jc w:val="both"/>
        <w:rPr>
          <w:rFonts w:hint="eastAsia" w:eastAsia="仿宋"/>
          <w:b/>
          <w:bCs/>
          <w:lang w:val="zh-CN" w:eastAsia="zh-CN"/>
        </w:rPr>
      </w:pPr>
      <w:r>
        <w:rPr>
          <w:rFonts w:hint="eastAsia" w:ascii="仿宋" w:hAnsi="仿宋" w:eastAsia="仿宋" w:cs="仿宋"/>
          <w:b/>
          <w:bCs/>
          <w:sz w:val="28"/>
          <w:szCs w:val="28"/>
          <w:lang w:val="zh-CN"/>
        </w:rPr>
        <w:t>以上材料如为复印件均需加盖投标单位公章。</w:t>
      </w:r>
    </w:p>
    <w:p>
      <w:pPr>
        <w:spacing w:after="0" w:line="54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B、商务报价响应文件</w:t>
      </w:r>
    </w:p>
    <w:p>
      <w:pPr>
        <w:spacing w:after="0" w:line="54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商务报价应包括询价文件所确定的全部范围及相应说明的全部内容，包括响应及完成委托工作所需的一切费用，包含但不限于原材料成本、运输、装卸、税收、损耗、利润、管理费、安全措施等一切费用。</w:t>
      </w:r>
    </w:p>
    <w:p>
      <w:pPr>
        <w:spacing w:after="0" w:line="54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开标一览表。</w:t>
      </w:r>
    </w:p>
    <w:p>
      <w:pPr>
        <w:spacing w:after="0" w:line="54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报价明细表。</w:t>
      </w:r>
    </w:p>
    <w:p>
      <w:pPr>
        <w:spacing w:after="0" w:line="54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特别提醒：响应文件所须提供的材料（须加盖投标供应商公章）按询价文件要求装订，密封，递交。</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（二）询价响应文件的编制及装订</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1、询价响应文件由：①资格审查文件、②商务报价响应文件共两部分组成。</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2、供应商按询价文件要求编写响应文件，并牢固装订成册。询价响应文件均需采用A4纸（图纸等除外）装订成册。询价响应文件不得行间插字、涂改、增删，如修改错漏处，须经询价响应文件签署人签字并加盖公章。</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3、询价响应文件的 “资格审查文件”、 “商务报价响应文件”各自装订成册。特别提示：“商务报价响应文件”必须单独装订和封装，不得出现在“资格审查文件”中。</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（三）询价响应文件的份数、签署</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1、供应商应准备 叁 份完整的询价响应文件，其中正本</w:t>
      </w:r>
      <w:r>
        <w:rPr>
          <w:rFonts w:hint="eastAsia" w:ascii="仿宋" w:hAnsi="仿宋" w:eastAsia="仿宋" w:cs="仿宋"/>
          <w:b/>
          <w:bCs/>
          <w:sz w:val="28"/>
          <w:szCs w:val="28"/>
          <w:u w:val="single"/>
          <w:lang w:val="zh-CN"/>
        </w:rPr>
        <w:t xml:space="preserve"> 壹 </w:t>
      </w:r>
      <w:r>
        <w:rPr>
          <w:rFonts w:hint="eastAsia" w:ascii="仿宋" w:hAnsi="仿宋" w:eastAsia="仿宋" w:cs="仿宋"/>
          <w:sz w:val="28"/>
          <w:szCs w:val="28"/>
          <w:lang w:val="zh-CN"/>
        </w:rPr>
        <w:t>份，副本</w:t>
      </w:r>
      <w:r>
        <w:rPr>
          <w:rFonts w:hint="eastAsia" w:ascii="仿宋" w:hAnsi="仿宋" w:eastAsia="仿宋" w:cs="仿宋"/>
          <w:b/>
          <w:bCs/>
          <w:sz w:val="28"/>
          <w:szCs w:val="28"/>
          <w:u w:val="single"/>
          <w:lang w:val="zh-CN"/>
        </w:rPr>
        <w:t xml:space="preserve"> </w:t>
      </w:r>
      <w:r>
        <w:rPr>
          <w:rFonts w:hint="eastAsia" w:ascii="仿宋" w:hAnsi="仿宋" w:eastAsia="仿宋" w:cs="仿宋"/>
          <w:b/>
          <w:bCs/>
          <w:sz w:val="28"/>
          <w:szCs w:val="28"/>
          <w:u w:val="single"/>
          <w:lang w:val="zh-CN" w:eastAsia="zh-CN"/>
        </w:rPr>
        <w:t>叁</w:t>
      </w:r>
      <w:r>
        <w:rPr>
          <w:rFonts w:hint="eastAsia" w:ascii="仿宋" w:hAnsi="仿宋" w:eastAsia="仿宋" w:cs="仿宋"/>
          <w:b/>
          <w:bCs/>
          <w:sz w:val="28"/>
          <w:szCs w:val="28"/>
          <w:u w:val="single"/>
          <w:lang w:val="zh-CN"/>
        </w:rPr>
        <w:t xml:space="preserve"> </w:t>
      </w:r>
      <w:r>
        <w:rPr>
          <w:rFonts w:hint="eastAsia" w:ascii="仿宋" w:hAnsi="仿宋" w:eastAsia="仿宋" w:cs="仿宋"/>
          <w:sz w:val="28"/>
          <w:szCs w:val="28"/>
          <w:lang w:val="zh-CN"/>
        </w:rPr>
        <w:t>份，并标明“正本”或“副本”字样，若有差异，概以“正本”为准。</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2、询价响应文件分两册密封。第一册为“资格审查文件”，第二册为“商务报价响应文件”，响应文件的第一册、第二册应分别密封，并在封袋上标明“第一册 资格审查文件”、 “第二册 商务报价响应文件”以及项目名称。</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3、供应商可将询价响应文件正副本统一密封或分别密封，如正本和副本分别密封的，应在封袋上标明正、副本字样。</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4、询价响应文件正本须按询价文件要求由法定代表人或被授权人签字或盖章并加盖单位印章。副本可复印，但须加盖单位印章。</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（四）询价响应文件的密封及标记</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密封后应标明响应文件项目名称、供应商名称，边缝处加盖单位骑缝章或骑缝签字。</w:t>
      </w:r>
    </w:p>
    <w:p>
      <w:pPr>
        <w:spacing w:after="0" w:line="540" w:lineRule="exact"/>
        <w:ind w:firstLine="440" w:firstLineChars="200"/>
        <w:jc w:val="both"/>
        <w:rPr>
          <w:rFonts w:hint="eastAsia"/>
          <w:lang w:val="zh-CN"/>
        </w:rPr>
      </w:pPr>
    </w:p>
    <w:p>
      <w:pPr>
        <w:spacing w:after="0" w:line="54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lang w:val="en-US" w:eastAsia="zh-CN"/>
        </w:rPr>
        <w:t>七</w:t>
      </w:r>
      <w:r>
        <w:rPr>
          <w:rFonts w:hint="eastAsia" w:ascii="仿宋" w:hAnsi="仿宋" w:eastAsia="仿宋" w:cs="仿宋"/>
          <w:b/>
          <w:bCs/>
          <w:sz w:val="28"/>
          <w:szCs w:val="28"/>
        </w:rPr>
        <w:t>、</w:t>
      </w:r>
      <w:r>
        <w:rPr>
          <w:rFonts w:hint="eastAsia" w:ascii="仿宋" w:hAnsi="仿宋" w:eastAsia="仿宋" w:cs="仿宋"/>
          <w:b/>
          <w:bCs/>
          <w:sz w:val="28"/>
          <w:szCs w:val="28"/>
          <w:lang w:val="zh-CN"/>
        </w:rPr>
        <w:t>出现下列情形之一的，作无效投标处理：</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1、未按照招标文件的规定提交询价响应保证金的；</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2、投标文件未按招标文件要求签署、盖章的；</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3、不具备招标文件中规定的资格要求的；</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4、报价超过招标文件中规定的预算金额或者最高限价的；</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5、询价响应文件资格审查文件部分出现商务报价的内容；</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6、投标文件含有采购人不能接受的附加条件的；</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7、法律、法规和招标文件规定的其他无效情形。</w:t>
      </w:r>
    </w:p>
    <w:p>
      <w:pPr>
        <w:spacing w:after="0" w:line="54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lang w:val="en-US" w:eastAsia="zh-CN"/>
        </w:rPr>
        <w:t>八</w:t>
      </w:r>
      <w:r>
        <w:rPr>
          <w:rFonts w:hint="eastAsia" w:ascii="仿宋" w:hAnsi="仿宋" w:eastAsia="仿宋" w:cs="仿宋"/>
          <w:b/>
          <w:bCs/>
          <w:sz w:val="28"/>
          <w:szCs w:val="28"/>
          <w:lang w:val="zh-CN"/>
        </w:rPr>
        <w:t>、有下列情形之一的，视为投标供应商串通投标，其投标无效：</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1、不同投标供应商的投标文件由同一单位或者个人编制；</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2、不同投标供应商委托同一单位或者个人办理投标事宜；</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3、不同投标供应商的投标文件载明的项目管理成员或者联系人员为同一人；</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4、不同投标供应商的投标文件异常一致或者投标报价呈规律性差异；</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5、不同投标供应商的投标文件相互混装。</w:t>
      </w:r>
    </w:p>
    <w:p>
      <w:pPr>
        <w:spacing w:after="0" w:line="54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lang w:val="en-US" w:eastAsia="zh-CN"/>
        </w:rPr>
        <w:t>九</w:t>
      </w:r>
      <w:r>
        <w:rPr>
          <w:rFonts w:hint="eastAsia" w:ascii="仿宋" w:hAnsi="仿宋" w:eastAsia="仿宋" w:cs="仿宋"/>
          <w:b/>
          <w:bCs/>
          <w:sz w:val="28"/>
          <w:szCs w:val="28"/>
          <w:lang w:val="zh-CN"/>
        </w:rPr>
        <w:t>、变更为其他方式采购的情形处理</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依据《政府采购货物和服务招标投标管理办法》财政部87号令第四十三条的规定：公开招标数额标准以上的采购项目，投标截止后供应商不足3家或者通过资格审查或符合性审查的供应商不足3家的，除采购任务取消情形外，按照以下方式处理：</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1、招标文件存在不合理条款或者招标程序不符合规定的，采购人、采购代理机构改正后依法重新招标；</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2、招标文件没有不合理条款、招标程序符合规定，需要采用其他采购方式采购的，采购人应当依法报财政部门批准。</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3、依据《政府采购非招标采购方式管理办法》财政部74号令第三条第（三）款的规定：达到公开招标数额标准、经批准采用非公开招标的货物、服务，可以采用竞争性谈判、单一来源采购方式采购，采购货物的，还可以采用询价采购方式。</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4、本项目如实质性响应供应商不足3家的，报经采购单位领导同意后，可视情改为竞争性谈判。</w:t>
      </w:r>
    </w:p>
    <w:p>
      <w:pPr>
        <w:spacing w:after="0" w:line="54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lang w:val="en-US" w:eastAsia="zh-CN"/>
        </w:rPr>
        <w:t>十</w:t>
      </w:r>
      <w:r>
        <w:rPr>
          <w:rFonts w:hint="eastAsia" w:ascii="仿宋" w:hAnsi="仿宋" w:eastAsia="仿宋" w:cs="仿宋"/>
          <w:b/>
          <w:bCs/>
          <w:sz w:val="28"/>
          <w:szCs w:val="28"/>
          <w:lang w:val="zh-CN"/>
        </w:rPr>
        <w:t>、出现下列情形之一的，作废标处理：</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1、出现影响采购公正的违法违规行为的；</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2、所有投标供应商报价超出采购预算价的；</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3、因重大变故，采购任务被取消的；</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4、评标委员会依据法律法规可以认定为废标的其他情况。</w:t>
      </w:r>
    </w:p>
    <w:p>
      <w:pPr>
        <w:spacing w:after="0" w:line="54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lang w:val="en-US" w:eastAsia="zh-CN"/>
        </w:rPr>
        <w:t>十一</w:t>
      </w:r>
      <w:r>
        <w:rPr>
          <w:rFonts w:hint="eastAsia" w:ascii="仿宋" w:hAnsi="仿宋" w:eastAsia="仿宋" w:cs="仿宋"/>
          <w:b/>
          <w:bCs/>
          <w:sz w:val="28"/>
          <w:szCs w:val="28"/>
          <w:lang w:val="zh-CN"/>
        </w:rPr>
        <w:t>、成交通知</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val="zh-CN"/>
        </w:rPr>
        <w:t>）成交通知</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1、采购人自成交人确定之日起2个工作日内在指定媒体上公告成交结果。</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2、成交公告期限为1个工作日，期限结束后向成交人发出《成交通知书》。</w:t>
      </w:r>
    </w:p>
    <w:p>
      <w:pPr>
        <w:spacing w:after="0" w:line="540" w:lineRule="exact"/>
        <w:ind w:firstLine="560" w:firstLineChars="200"/>
        <w:jc w:val="both"/>
      </w:pPr>
      <w:r>
        <w:rPr>
          <w:rFonts w:hint="eastAsia" w:ascii="仿宋" w:hAnsi="仿宋" w:eastAsia="仿宋" w:cs="仿宋"/>
          <w:sz w:val="28"/>
          <w:szCs w:val="28"/>
          <w:lang w:val="zh-CN"/>
        </w:rPr>
        <w:t xml:space="preserve">3、《成交通知书》一经发出，即具有法律效力。采购人、成交人依法承担法律责任。 </w:t>
      </w:r>
    </w:p>
    <w:p>
      <w:pPr>
        <w:spacing w:after="0" w:line="540" w:lineRule="exact"/>
        <w:ind w:firstLine="562" w:firstLineChars="200"/>
        <w:jc w:val="both"/>
        <w:rPr>
          <w:rFonts w:hint="eastAsia" w:ascii="仿宋" w:hAnsi="仿宋" w:eastAsia="仿宋" w:cs="仿宋"/>
          <w:b/>
          <w:bCs/>
          <w:sz w:val="28"/>
          <w:szCs w:val="28"/>
          <w:lang w:val="en-US" w:eastAsia="zh-CN"/>
        </w:rPr>
      </w:pPr>
    </w:p>
    <w:p>
      <w:pPr>
        <w:spacing w:after="0" w:line="540" w:lineRule="exact"/>
        <w:ind w:firstLine="562" w:firstLineChars="200"/>
        <w:jc w:val="both"/>
        <w:rPr>
          <w:rFonts w:hint="eastAsia" w:ascii="仿宋" w:hAnsi="仿宋" w:eastAsia="仿宋" w:cs="仿宋"/>
          <w:b/>
          <w:bCs/>
          <w:sz w:val="28"/>
          <w:szCs w:val="28"/>
          <w:lang w:val="en-US" w:eastAsia="zh-CN"/>
        </w:rPr>
      </w:pPr>
    </w:p>
    <w:p>
      <w:pPr>
        <w:spacing w:after="0" w:line="540" w:lineRule="exact"/>
        <w:ind w:firstLine="562" w:firstLineChars="200"/>
        <w:jc w:val="both"/>
        <w:rPr>
          <w:rFonts w:hint="eastAsia" w:ascii="仿宋" w:hAnsi="仿宋" w:eastAsia="仿宋" w:cs="仿宋"/>
          <w:b/>
          <w:bCs/>
          <w:sz w:val="28"/>
          <w:szCs w:val="28"/>
          <w:lang w:val="en-US" w:eastAsia="zh-CN"/>
        </w:rPr>
      </w:pPr>
    </w:p>
    <w:p>
      <w:pPr>
        <w:spacing w:after="0" w:line="540" w:lineRule="exact"/>
        <w:ind w:firstLine="562" w:firstLineChars="200"/>
        <w:jc w:val="both"/>
        <w:rPr>
          <w:rFonts w:hint="eastAsia" w:ascii="仿宋" w:hAnsi="仿宋" w:eastAsia="仿宋" w:cs="仿宋"/>
          <w:b/>
          <w:bCs/>
          <w:sz w:val="28"/>
          <w:szCs w:val="28"/>
          <w:lang w:val="en-US" w:eastAsia="zh-CN"/>
        </w:rPr>
      </w:pPr>
    </w:p>
    <w:p>
      <w:pPr>
        <w:spacing w:after="0" w:line="540" w:lineRule="exact"/>
        <w:ind w:firstLine="562" w:firstLineChars="200"/>
        <w:jc w:val="both"/>
        <w:rPr>
          <w:rFonts w:hint="eastAsia" w:ascii="仿宋" w:hAnsi="仿宋" w:eastAsia="仿宋" w:cs="仿宋"/>
          <w:b/>
          <w:bCs/>
          <w:sz w:val="28"/>
          <w:szCs w:val="28"/>
          <w:lang w:val="en-US" w:eastAsia="zh-CN"/>
        </w:rPr>
      </w:pPr>
    </w:p>
    <w:p>
      <w:pPr>
        <w:spacing w:after="0" w:line="540" w:lineRule="exact"/>
        <w:ind w:firstLine="562" w:firstLineChars="200"/>
        <w:jc w:val="both"/>
        <w:rPr>
          <w:rFonts w:hint="eastAsia" w:ascii="仿宋" w:hAnsi="仿宋" w:eastAsia="仿宋" w:cs="仿宋"/>
          <w:b/>
          <w:bCs/>
          <w:sz w:val="28"/>
          <w:szCs w:val="28"/>
          <w:lang w:val="en-US" w:eastAsia="zh-CN"/>
        </w:rPr>
      </w:pPr>
    </w:p>
    <w:p>
      <w:pPr>
        <w:spacing w:after="0" w:line="540" w:lineRule="exact"/>
        <w:ind w:firstLine="562" w:firstLineChars="200"/>
        <w:jc w:val="both"/>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pStyle w:val="3"/>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pStyle w:val="3"/>
        <w:rPr>
          <w:rFonts w:hint="eastAsia"/>
          <w:lang w:val="en-US" w:eastAsia="zh-CN"/>
        </w:rPr>
      </w:pPr>
    </w:p>
    <w:p>
      <w:pPr>
        <w:spacing w:after="0" w:line="540" w:lineRule="exact"/>
        <w:ind w:firstLine="562" w:firstLineChars="200"/>
        <w:jc w:val="both"/>
        <w:rPr>
          <w:rFonts w:hint="eastAsia" w:ascii="仿宋" w:hAnsi="仿宋" w:eastAsia="仿宋" w:cs="仿宋"/>
          <w:b/>
          <w:bCs/>
          <w:sz w:val="28"/>
          <w:szCs w:val="28"/>
          <w:lang w:val="en-US" w:eastAsia="zh-CN"/>
        </w:rPr>
      </w:pPr>
    </w:p>
    <w:p>
      <w:pPr>
        <w:spacing w:after="0" w:line="540" w:lineRule="exact"/>
        <w:jc w:val="both"/>
        <w:rPr>
          <w:rFonts w:hint="eastAsia" w:ascii="仿宋" w:hAnsi="仿宋" w:eastAsia="仿宋" w:cs="仿宋"/>
          <w:b/>
          <w:bCs/>
          <w:sz w:val="28"/>
          <w:szCs w:val="28"/>
          <w:lang w:val="en-US" w:eastAsia="zh-CN"/>
        </w:rPr>
      </w:pPr>
    </w:p>
    <w:p>
      <w:pPr>
        <w:spacing w:after="0" w:line="540" w:lineRule="exact"/>
        <w:ind w:firstLine="562" w:firstLineChars="200"/>
        <w:jc w:val="both"/>
      </w:pPr>
      <w:r>
        <w:rPr>
          <w:rFonts w:hint="eastAsia" w:ascii="仿宋" w:hAnsi="仿宋" w:eastAsia="仿宋" w:cs="仿宋"/>
          <w:b/>
          <w:bCs/>
          <w:sz w:val="28"/>
          <w:szCs w:val="28"/>
          <w:lang w:val="en-US" w:eastAsia="zh-CN"/>
        </w:rPr>
        <w:t>十二</w:t>
      </w:r>
      <w:r>
        <w:rPr>
          <w:rFonts w:hint="eastAsia" w:ascii="仿宋" w:hAnsi="仿宋" w:eastAsia="仿宋" w:cs="仿宋"/>
          <w:b/>
          <w:bCs/>
          <w:sz w:val="28"/>
          <w:szCs w:val="28"/>
          <w:lang w:val="zh-CN"/>
        </w:rPr>
        <w:t>、询价响应文件格式</w:t>
      </w:r>
    </w:p>
    <w:p>
      <w:pPr>
        <w:widowControl/>
        <w:jc w:val="left"/>
        <w:rPr>
          <w:rFonts w:hint="eastAsia" w:ascii="仿宋" w:hAnsi="仿宋" w:eastAsia="仿宋" w:cs="仿宋"/>
          <w:b/>
          <w:bCs/>
          <w:sz w:val="24"/>
          <w:szCs w:val="24"/>
          <w:lang w:eastAsia="zh-CN"/>
        </w:rPr>
      </w:pPr>
      <w:r>
        <w:rPr>
          <w:rFonts w:hint="eastAsia" w:ascii="仿宋" w:hAnsi="仿宋" w:eastAsia="仿宋" w:cs="仿宋"/>
          <w:b/>
          <w:sz w:val="24"/>
          <w:szCs w:val="24"/>
        </w:rPr>
        <w:t>一、资格审查文件相关的格式文件及表格</w:t>
      </w:r>
    </w:p>
    <w:p>
      <w:pPr>
        <w:snapToGrid w:val="0"/>
        <w:spacing w:line="420" w:lineRule="exact"/>
        <w:jc w:val="center"/>
        <w:outlineLvl w:val="4"/>
        <w:rPr>
          <w:rFonts w:hint="eastAsia" w:ascii="仿宋" w:hAnsi="仿宋" w:eastAsia="仿宋" w:cs="仿宋"/>
          <w:b/>
          <w:bCs/>
          <w:sz w:val="24"/>
          <w:szCs w:val="24"/>
        </w:rPr>
      </w:pPr>
      <w:r>
        <w:rPr>
          <w:rFonts w:hint="eastAsia" w:ascii="仿宋" w:hAnsi="仿宋" w:eastAsia="仿宋" w:cs="仿宋"/>
          <w:b/>
          <w:bCs/>
          <w:sz w:val="24"/>
          <w:szCs w:val="24"/>
        </w:rPr>
        <w:t>1.法定代表人身份证明</w:t>
      </w:r>
    </w:p>
    <w:p>
      <w:pPr>
        <w:snapToGrid w:val="0"/>
        <w:spacing w:line="420" w:lineRule="exact"/>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napToGrid w:val="0"/>
        <w:spacing w:line="420" w:lineRule="exact"/>
        <w:jc w:val="center"/>
        <w:rPr>
          <w:rFonts w:hint="eastAsia" w:ascii="仿宋" w:hAnsi="仿宋" w:eastAsia="仿宋" w:cs="仿宋"/>
          <w:sz w:val="24"/>
          <w:szCs w:val="24"/>
        </w:rPr>
      </w:pPr>
      <w:r>
        <w:rPr>
          <w:rFonts w:hint="eastAsia" w:ascii="仿宋" w:hAnsi="仿宋" w:eastAsia="仿宋" w:cs="仿宋"/>
          <w:sz w:val="24"/>
          <w:szCs w:val="24"/>
          <w:u w:val="single"/>
        </w:rPr>
        <w:t xml:space="preserve">          先生／女士：</w:t>
      </w:r>
      <w:r>
        <w:rPr>
          <w:rFonts w:hint="eastAsia" w:ascii="仿宋" w:hAnsi="仿宋" w:eastAsia="仿宋" w:cs="仿宋"/>
          <w:sz w:val="24"/>
          <w:szCs w:val="24"/>
        </w:rPr>
        <w:t>现任我单位</w:t>
      </w:r>
      <w:r>
        <w:rPr>
          <w:rFonts w:hint="eastAsia" w:ascii="仿宋" w:hAnsi="仿宋" w:eastAsia="仿宋" w:cs="仿宋"/>
          <w:sz w:val="24"/>
          <w:szCs w:val="24"/>
          <w:u w:val="single"/>
        </w:rPr>
        <w:t>　　　　　　　</w:t>
      </w:r>
      <w:r>
        <w:rPr>
          <w:rFonts w:hint="eastAsia" w:ascii="仿宋" w:hAnsi="仿宋" w:eastAsia="仿宋" w:cs="仿宋"/>
          <w:sz w:val="24"/>
          <w:szCs w:val="24"/>
        </w:rPr>
        <w:t>职务，为法定代表人，特此证明。</w:t>
      </w:r>
    </w:p>
    <w:p>
      <w:pPr>
        <w:snapToGrid w:val="0"/>
        <w:spacing w:line="420" w:lineRule="exact"/>
        <w:jc w:val="left"/>
        <w:rPr>
          <w:rFonts w:hint="eastAsia" w:ascii="仿宋" w:hAnsi="仿宋" w:eastAsia="仿宋" w:cs="仿宋"/>
          <w:sz w:val="24"/>
          <w:szCs w:val="24"/>
          <w:u w:val="single"/>
        </w:rPr>
      </w:pPr>
      <w:r>
        <w:rPr>
          <w:rFonts w:hint="eastAsia" w:ascii="仿宋" w:hAnsi="仿宋" w:eastAsia="仿宋" w:cs="仿宋"/>
          <w:sz w:val="24"/>
          <w:szCs w:val="24"/>
        </w:rPr>
        <w:t>身份证号码：</w:t>
      </w:r>
      <w:r>
        <w:rPr>
          <w:rFonts w:hint="eastAsia" w:ascii="仿宋" w:hAnsi="仿宋" w:eastAsia="仿宋" w:cs="仿宋"/>
          <w:sz w:val="24"/>
          <w:szCs w:val="24"/>
          <w:u w:val="single"/>
        </w:rPr>
        <w:t xml:space="preserve">                                               </w:t>
      </w:r>
    </w:p>
    <w:p>
      <w:pPr>
        <w:snapToGrid w:val="0"/>
        <w:spacing w:line="420" w:lineRule="exact"/>
        <w:ind w:firstLine="484" w:firstLineChars="202"/>
        <w:jc w:val="right"/>
        <w:rPr>
          <w:rFonts w:hint="eastAsia" w:ascii="仿宋" w:hAnsi="仿宋" w:eastAsia="仿宋" w:cs="仿宋"/>
          <w:sz w:val="24"/>
          <w:szCs w:val="24"/>
        </w:rPr>
      </w:pPr>
      <w:r>
        <w:rPr>
          <w:rFonts w:hint="eastAsia" w:ascii="仿宋" w:hAnsi="仿宋" w:eastAsia="仿宋" w:cs="仿宋"/>
          <w:sz w:val="24"/>
          <w:szCs w:val="24"/>
        </w:rPr>
        <w:t>谈判供应商（盖章）</w:t>
      </w:r>
    </w:p>
    <w:p>
      <w:pPr>
        <w:snapToGrid w:val="0"/>
        <w:spacing w:line="420" w:lineRule="exact"/>
        <w:ind w:firstLine="484" w:firstLineChars="202"/>
        <w:jc w:val="right"/>
        <w:rPr>
          <w:rFonts w:hint="eastAsia" w:ascii="仿宋" w:hAnsi="仿宋" w:eastAsia="仿宋" w:cs="仿宋"/>
          <w:bCs/>
          <w:sz w:val="24"/>
          <w:szCs w:val="24"/>
        </w:rPr>
      </w:pPr>
      <w:r>
        <w:rPr>
          <w:rFonts w:hint="eastAsia" w:ascii="仿宋" w:hAnsi="仿宋" w:eastAsia="仿宋" w:cs="仿宋"/>
          <w:bCs/>
          <w:sz w:val="24"/>
          <w:szCs w:val="24"/>
        </w:rPr>
        <w:t>年    月    日</w:t>
      </w:r>
    </w:p>
    <w:p>
      <w:pPr>
        <w:snapToGrid w:val="0"/>
        <w:spacing w:line="420" w:lineRule="exact"/>
        <w:jc w:val="center"/>
        <w:rPr>
          <w:rFonts w:hint="eastAsia" w:ascii="仿宋" w:hAnsi="仿宋" w:eastAsia="仿宋" w:cs="仿宋"/>
          <w:sz w:val="24"/>
          <w:szCs w:val="24"/>
        </w:rPr>
      </w:pPr>
    </w:p>
    <w:p>
      <w:pPr>
        <w:snapToGrid w:val="0"/>
        <w:spacing w:line="420" w:lineRule="exact"/>
        <w:jc w:val="center"/>
        <w:rPr>
          <w:rFonts w:hint="eastAsia" w:ascii="仿宋" w:hAnsi="仿宋" w:eastAsia="仿宋" w:cs="仿宋"/>
          <w:sz w:val="24"/>
          <w:szCs w:val="24"/>
        </w:rPr>
      </w:pPr>
      <w:r>
        <w:rPr>
          <w:rFonts w:hint="eastAsia" w:ascii="仿宋" w:hAnsi="仿宋" w:eastAsia="仿宋" w:cs="仿宋"/>
          <w:sz w:val="24"/>
          <w:szCs w:val="24"/>
        </w:rPr>
        <w:t>注：提供法定代表人的身份证复印件并加盖公章</w:t>
      </w:r>
    </w:p>
    <w:p>
      <w:pPr>
        <w:snapToGrid w:val="0"/>
        <w:spacing w:line="420" w:lineRule="exact"/>
        <w:jc w:val="center"/>
        <w:outlineLvl w:val="4"/>
        <w:rPr>
          <w:rFonts w:hint="eastAsia" w:ascii="仿宋" w:hAnsi="仿宋" w:eastAsia="仿宋" w:cs="仿宋"/>
          <w:b/>
          <w:bCs/>
          <w:sz w:val="24"/>
          <w:szCs w:val="24"/>
        </w:rPr>
      </w:pPr>
    </w:p>
    <w:p>
      <w:pPr>
        <w:snapToGrid w:val="0"/>
        <w:spacing w:line="420" w:lineRule="exact"/>
        <w:jc w:val="center"/>
        <w:outlineLvl w:val="4"/>
        <w:rPr>
          <w:rFonts w:hint="eastAsia" w:ascii="仿宋" w:hAnsi="仿宋" w:eastAsia="仿宋" w:cs="仿宋"/>
          <w:b/>
          <w:bCs/>
          <w:sz w:val="24"/>
          <w:szCs w:val="24"/>
        </w:rPr>
      </w:pPr>
    </w:p>
    <w:p>
      <w:pPr>
        <w:snapToGrid w:val="0"/>
        <w:spacing w:line="420" w:lineRule="exact"/>
        <w:jc w:val="center"/>
        <w:outlineLvl w:val="4"/>
        <w:rPr>
          <w:rFonts w:hint="eastAsia" w:ascii="仿宋" w:hAnsi="仿宋" w:eastAsia="仿宋" w:cs="仿宋"/>
          <w:b/>
          <w:bCs/>
          <w:sz w:val="24"/>
          <w:szCs w:val="24"/>
        </w:rPr>
      </w:pPr>
    </w:p>
    <w:p>
      <w:pPr>
        <w:snapToGrid w:val="0"/>
        <w:spacing w:line="420" w:lineRule="exact"/>
        <w:jc w:val="center"/>
        <w:outlineLvl w:val="4"/>
        <w:rPr>
          <w:rFonts w:hint="eastAsia" w:ascii="仿宋" w:hAnsi="仿宋" w:eastAsia="仿宋" w:cs="仿宋"/>
          <w:b/>
          <w:bCs/>
          <w:sz w:val="24"/>
          <w:szCs w:val="24"/>
        </w:rPr>
      </w:pPr>
    </w:p>
    <w:p>
      <w:pPr>
        <w:pStyle w:val="2"/>
        <w:rPr>
          <w:rFonts w:hint="eastAsia" w:ascii="仿宋" w:hAnsi="仿宋" w:eastAsia="仿宋" w:cs="仿宋"/>
          <w:b/>
          <w:bCs/>
          <w:sz w:val="24"/>
          <w:szCs w:val="24"/>
        </w:rPr>
      </w:pPr>
    </w:p>
    <w:p>
      <w:pPr>
        <w:pStyle w:val="3"/>
        <w:rPr>
          <w:rFonts w:hint="eastAsia" w:ascii="仿宋" w:hAnsi="仿宋" w:eastAsia="仿宋" w:cs="仿宋"/>
          <w:b/>
          <w:bCs/>
          <w:sz w:val="24"/>
          <w:szCs w:val="24"/>
        </w:rPr>
      </w:pPr>
    </w:p>
    <w:p>
      <w:pPr>
        <w:rPr>
          <w:rFonts w:hint="eastAsia" w:ascii="仿宋" w:hAnsi="仿宋" w:eastAsia="仿宋" w:cs="仿宋"/>
          <w:b/>
          <w:bCs/>
          <w:sz w:val="24"/>
          <w:szCs w:val="24"/>
        </w:rPr>
      </w:pPr>
    </w:p>
    <w:p>
      <w:pPr>
        <w:pStyle w:val="2"/>
        <w:rPr>
          <w:rFonts w:hint="eastAsia" w:ascii="仿宋" w:hAnsi="仿宋" w:eastAsia="仿宋" w:cs="仿宋"/>
          <w:b/>
          <w:bCs/>
          <w:sz w:val="24"/>
          <w:szCs w:val="24"/>
        </w:rPr>
      </w:pPr>
    </w:p>
    <w:p>
      <w:pPr>
        <w:pStyle w:val="3"/>
        <w:rPr>
          <w:rFonts w:hint="eastAsia" w:ascii="仿宋" w:hAnsi="仿宋" w:eastAsia="仿宋" w:cs="仿宋"/>
          <w:b/>
          <w:bCs/>
          <w:sz w:val="24"/>
          <w:szCs w:val="24"/>
        </w:rPr>
      </w:pPr>
    </w:p>
    <w:p>
      <w:pPr>
        <w:rPr>
          <w:rFonts w:hint="eastAsia" w:ascii="仿宋" w:hAnsi="仿宋" w:eastAsia="仿宋" w:cs="仿宋"/>
          <w:b/>
          <w:bCs/>
          <w:sz w:val="24"/>
          <w:szCs w:val="24"/>
        </w:rPr>
      </w:pPr>
    </w:p>
    <w:p>
      <w:pPr>
        <w:pStyle w:val="2"/>
        <w:rPr>
          <w:rFonts w:hint="eastAsia" w:ascii="仿宋" w:hAnsi="仿宋" w:eastAsia="仿宋" w:cs="仿宋"/>
          <w:b/>
          <w:bCs/>
          <w:sz w:val="24"/>
          <w:szCs w:val="24"/>
        </w:rPr>
      </w:pPr>
    </w:p>
    <w:p>
      <w:pPr>
        <w:pStyle w:val="3"/>
        <w:rPr>
          <w:rFonts w:hint="eastAsia" w:ascii="仿宋" w:hAnsi="仿宋" w:eastAsia="仿宋" w:cs="仿宋"/>
          <w:b/>
          <w:bCs/>
          <w:sz w:val="24"/>
          <w:szCs w:val="24"/>
        </w:rPr>
      </w:pPr>
    </w:p>
    <w:p>
      <w:pPr>
        <w:rPr>
          <w:rFonts w:hint="eastAsia" w:ascii="仿宋" w:hAnsi="仿宋" w:eastAsia="仿宋" w:cs="仿宋"/>
          <w:b/>
          <w:bCs/>
          <w:sz w:val="24"/>
          <w:szCs w:val="24"/>
        </w:rPr>
      </w:pPr>
    </w:p>
    <w:p>
      <w:pPr>
        <w:pStyle w:val="3"/>
        <w:ind w:left="0" w:leftChars="0" w:firstLine="0" w:firstLineChars="0"/>
        <w:rPr>
          <w:rFonts w:hint="eastAsia" w:ascii="仿宋" w:hAnsi="仿宋" w:eastAsia="仿宋" w:cs="仿宋"/>
          <w:b/>
          <w:bCs/>
          <w:sz w:val="24"/>
          <w:szCs w:val="24"/>
        </w:rPr>
      </w:pPr>
    </w:p>
    <w:p>
      <w:pPr>
        <w:rPr>
          <w:rFonts w:hint="eastAsia"/>
        </w:rPr>
      </w:pPr>
    </w:p>
    <w:p>
      <w:pPr>
        <w:snapToGrid w:val="0"/>
        <w:spacing w:line="420" w:lineRule="exact"/>
        <w:jc w:val="center"/>
        <w:outlineLvl w:val="4"/>
        <w:rPr>
          <w:rFonts w:hint="eastAsia" w:ascii="仿宋" w:hAnsi="仿宋" w:eastAsia="仿宋" w:cs="仿宋"/>
          <w:b/>
          <w:bCs/>
          <w:sz w:val="24"/>
          <w:szCs w:val="24"/>
          <w:lang w:eastAsia="zh-CN"/>
        </w:rPr>
      </w:pPr>
      <w:r>
        <w:rPr>
          <w:rFonts w:hint="eastAsia" w:ascii="仿宋" w:hAnsi="仿宋" w:eastAsia="仿宋" w:cs="仿宋"/>
          <w:b/>
          <w:bCs/>
          <w:sz w:val="24"/>
          <w:szCs w:val="24"/>
        </w:rPr>
        <w:t>2.法定代表人授权委托书</w:t>
      </w:r>
      <w:r>
        <w:rPr>
          <w:rFonts w:hint="eastAsia" w:ascii="仿宋" w:hAnsi="仿宋" w:eastAsia="仿宋" w:cs="仿宋"/>
          <w:b/>
          <w:bCs/>
          <w:sz w:val="24"/>
          <w:szCs w:val="24"/>
          <w:lang w:eastAsia="zh-CN"/>
        </w:rPr>
        <w:t>（如有）</w:t>
      </w:r>
    </w:p>
    <w:p>
      <w:pPr>
        <w:snapToGrid w:val="0"/>
        <w:spacing w:line="420" w:lineRule="exact"/>
        <w:rPr>
          <w:rFonts w:hint="eastAsia" w:ascii="仿宋" w:hAnsi="仿宋" w:eastAsia="仿宋" w:cs="仿宋"/>
          <w:bCs/>
          <w:sz w:val="24"/>
          <w:szCs w:val="24"/>
        </w:rPr>
      </w:pPr>
      <w:r>
        <w:rPr>
          <w:rFonts w:hint="eastAsia" w:ascii="仿宋" w:hAnsi="仿宋" w:eastAsia="仿宋" w:cs="仿宋"/>
          <w:bCs/>
          <w:sz w:val="24"/>
          <w:szCs w:val="24"/>
          <w:u w:val="single"/>
        </w:rPr>
        <w:t xml:space="preserve">               </w:t>
      </w:r>
      <w:r>
        <w:rPr>
          <w:rFonts w:hint="eastAsia" w:ascii="仿宋" w:hAnsi="仿宋" w:eastAsia="仿宋" w:cs="仿宋"/>
          <w:bCs/>
          <w:sz w:val="24"/>
          <w:szCs w:val="24"/>
        </w:rPr>
        <w:t>：</w:t>
      </w:r>
    </w:p>
    <w:p>
      <w:pPr>
        <w:snapToGrid w:val="0"/>
        <w:spacing w:line="420" w:lineRule="exact"/>
        <w:ind w:firstLine="484" w:firstLineChars="202"/>
        <w:rPr>
          <w:rFonts w:hint="eastAsia" w:ascii="仿宋" w:hAnsi="仿宋" w:eastAsia="仿宋" w:cs="仿宋"/>
          <w:sz w:val="24"/>
          <w:szCs w:val="24"/>
        </w:rPr>
      </w:pPr>
      <w:r>
        <w:rPr>
          <w:rFonts w:hint="eastAsia" w:ascii="仿宋" w:hAnsi="仿宋" w:eastAsia="仿宋" w:cs="仿宋"/>
          <w:sz w:val="24"/>
          <w:szCs w:val="24"/>
        </w:rPr>
        <w:t>本授权委托书声明：我</w:t>
      </w:r>
      <w:r>
        <w:rPr>
          <w:rFonts w:hint="eastAsia" w:ascii="仿宋" w:hAnsi="仿宋" w:eastAsia="仿宋" w:cs="仿宋"/>
          <w:sz w:val="24"/>
          <w:szCs w:val="24"/>
          <w:u w:val="single"/>
        </w:rPr>
        <w:t>　　   　</w:t>
      </w:r>
      <w:r>
        <w:rPr>
          <w:rFonts w:hint="eastAsia" w:ascii="仿宋" w:hAnsi="仿宋" w:eastAsia="仿宋" w:cs="仿宋"/>
          <w:sz w:val="24"/>
          <w:szCs w:val="24"/>
        </w:rPr>
        <w:t>（姓名）系</w:t>
      </w:r>
      <w:r>
        <w:rPr>
          <w:rFonts w:hint="eastAsia" w:ascii="仿宋" w:hAnsi="仿宋" w:eastAsia="仿宋" w:cs="仿宋"/>
          <w:sz w:val="24"/>
          <w:szCs w:val="24"/>
          <w:u w:val="single"/>
        </w:rPr>
        <w:t>　　  　</w:t>
      </w:r>
      <w:r>
        <w:rPr>
          <w:rFonts w:hint="eastAsia" w:ascii="仿宋" w:hAnsi="仿宋" w:eastAsia="仿宋" w:cs="仿宋"/>
          <w:sz w:val="24"/>
          <w:szCs w:val="24"/>
        </w:rPr>
        <w:t>（供应商名称）的法定代表人，现授权委托　　   （姓名）为我公司代理人，以本公司的名义参加本项目的询价响应活动。代理人在开标、评标、合同谈判过程中所签署的一切文件和处理与之有关的一切事务，我均予以承认。</w:t>
      </w:r>
    </w:p>
    <w:p>
      <w:pPr>
        <w:snapToGrid w:val="0"/>
        <w:spacing w:line="420" w:lineRule="exact"/>
        <w:ind w:firstLine="484" w:firstLineChars="202"/>
        <w:rPr>
          <w:rFonts w:hint="eastAsia" w:ascii="仿宋" w:hAnsi="仿宋" w:eastAsia="仿宋" w:cs="仿宋"/>
          <w:sz w:val="24"/>
          <w:szCs w:val="24"/>
        </w:rPr>
      </w:pPr>
      <w:r>
        <w:rPr>
          <w:rFonts w:hint="eastAsia" w:ascii="仿宋" w:hAnsi="仿宋" w:eastAsia="仿宋" w:cs="仿宋"/>
          <w:sz w:val="24"/>
          <w:szCs w:val="24"/>
        </w:rPr>
        <w:t>被委托授权人无转委权。特此委托。</w:t>
      </w:r>
    </w:p>
    <w:p>
      <w:pPr>
        <w:snapToGrid w:val="0"/>
        <w:spacing w:line="420" w:lineRule="exact"/>
        <w:ind w:firstLine="972" w:firstLineChars="405"/>
        <w:rPr>
          <w:rFonts w:hint="eastAsia" w:ascii="仿宋" w:hAnsi="仿宋" w:eastAsia="仿宋" w:cs="仿宋"/>
          <w:sz w:val="24"/>
          <w:szCs w:val="24"/>
        </w:rPr>
      </w:pPr>
    </w:p>
    <w:p>
      <w:pPr>
        <w:snapToGrid w:val="0"/>
        <w:spacing w:line="420" w:lineRule="exact"/>
        <w:ind w:firstLine="972" w:firstLineChars="405"/>
        <w:rPr>
          <w:rFonts w:hint="eastAsia" w:ascii="仿宋" w:hAnsi="仿宋" w:eastAsia="仿宋" w:cs="仿宋"/>
          <w:sz w:val="24"/>
          <w:szCs w:val="24"/>
        </w:rPr>
      </w:pPr>
      <w:r>
        <w:rPr>
          <w:rFonts w:hint="eastAsia" w:ascii="仿宋" w:hAnsi="仿宋" w:eastAsia="仿宋" w:cs="仿宋"/>
          <w:sz w:val="24"/>
          <w:szCs w:val="24"/>
        </w:rPr>
        <w:t>被委托授权人身份证号：</w:t>
      </w:r>
    </w:p>
    <w:p>
      <w:pPr>
        <w:snapToGrid w:val="0"/>
        <w:spacing w:line="420" w:lineRule="exact"/>
        <w:ind w:firstLine="972" w:firstLineChars="405"/>
        <w:rPr>
          <w:rFonts w:hint="eastAsia" w:ascii="仿宋" w:hAnsi="仿宋" w:eastAsia="仿宋" w:cs="仿宋"/>
          <w:sz w:val="24"/>
          <w:szCs w:val="24"/>
        </w:rPr>
      </w:pPr>
      <w:r>
        <w:rPr>
          <w:rFonts w:hint="eastAsia" w:ascii="仿宋" w:hAnsi="仿宋" w:eastAsia="仿宋" w:cs="仿宋"/>
          <w:sz w:val="24"/>
          <w:szCs w:val="24"/>
        </w:rPr>
        <w:t>法定代表人签字：</w:t>
      </w:r>
    </w:p>
    <w:p>
      <w:pPr>
        <w:snapToGrid w:val="0"/>
        <w:spacing w:line="420" w:lineRule="exact"/>
        <w:ind w:firstLine="972" w:firstLineChars="405"/>
        <w:rPr>
          <w:rFonts w:hint="eastAsia" w:ascii="仿宋" w:hAnsi="仿宋" w:eastAsia="仿宋" w:cs="仿宋"/>
          <w:sz w:val="24"/>
          <w:szCs w:val="24"/>
        </w:rPr>
      </w:pPr>
      <w:r>
        <w:rPr>
          <w:rFonts w:hint="eastAsia" w:ascii="仿宋" w:hAnsi="仿宋" w:eastAsia="仿宋" w:cs="仿宋"/>
          <w:sz w:val="24"/>
          <w:szCs w:val="24"/>
        </w:rPr>
        <w:t>被委托授权人签字：</w:t>
      </w:r>
    </w:p>
    <w:p>
      <w:pPr>
        <w:snapToGrid w:val="0"/>
        <w:spacing w:line="420" w:lineRule="exact"/>
        <w:ind w:firstLine="972" w:firstLineChars="405"/>
        <w:rPr>
          <w:rFonts w:hint="eastAsia" w:ascii="仿宋" w:hAnsi="仿宋" w:eastAsia="仿宋" w:cs="仿宋"/>
          <w:sz w:val="24"/>
          <w:szCs w:val="24"/>
        </w:rPr>
      </w:pPr>
    </w:p>
    <w:p>
      <w:pPr>
        <w:snapToGrid w:val="0"/>
        <w:spacing w:line="420" w:lineRule="exact"/>
        <w:ind w:firstLine="484" w:firstLineChars="202"/>
        <w:jc w:val="right"/>
        <w:rPr>
          <w:rFonts w:hint="eastAsia" w:ascii="仿宋" w:hAnsi="仿宋" w:eastAsia="仿宋" w:cs="仿宋"/>
          <w:sz w:val="24"/>
          <w:szCs w:val="24"/>
        </w:rPr>
      </w:pPr>
      <w:r>
        <w:rPr>
          <w:rFonts w:hint="eastAsia" w:ascii="仿宋" w:hAnsi="仿宋" w:eastAsia="仿宋" w:cs="仿宋"/>
          <w:sz w:val="24"/>
          <w:szCs w:val="24"/>
        </w:rPr>
        <w:t>谈判供应商（盖章）</w:t>
      </w:r>
    </w:p>
    <w:p>
      <w:pPr>
        <w:snapToGrid w:val="0"/>
        <w:spacing w:line="420" w:lineRule="exact"/>
        <w:ind w:firstLine="484" w:firstLineChars="202"/>
        <w:jc w:val="right"/>
        <w:rPr>
          <w:rFonts w:hint="eastAsia" w:ascii="仿宋" w:hAnsi="仿宋" w:eastAsia="仿宋" w:cs="仿宋"/>
          <w:bCs/>
          <w:sz w:val="24"/>
          <w:szCs w:val="24"/>
        </w:rPr>
      </w:pPr>
      <w:r>
        <w:rPr>
          <w:rFonts w:hint="eastAsia" w:ascii="仿宋" w:hAnsi="仿宋" w:eastAsia="仿宋" w:cs="仿宋"/>
          <w:bCs/>
          <w:sz w:val="24"/>
          <w:szCs w:val="24"/>
        </w:rPr>
        <w:t>年    月    日</w:t>
      </w:r>
    </w:p>
    <w:p>
      <w:pPr>
        <w:snapToGrid w:val="0"/>
        <w:spacing w:line="420" w:lineRule="exact"/>
        <w:ind w:firstLine="321" w:firstLineChars="134"/>
        <w:jc w:val="center"/>
        <w:rPr>
          <w:rFonts w:hint="eastAsia" w:ascii="仿宋" w:hAnsi="仿宋" w:eastAsia="仿宋" w:cs="仿宋"/>
          <w:sz w:val="24"/>
          <w:szCs w:val="24"/>
        </w:rPr>
      </w:pPr>
      <w:r>
        <w:rPr>
          <w:rFonts w:hint="eastAsia" w:ascii="仿宋" w:hAnsi="仿宋" w:eastAsia="仿宋" w:cs="仿宋"/>
          <w:sz w:val="24"/>
          <w:szCs w:val="24"/>
        </w:rPr>
        <w:t>注：提供被委托授权人的身份证复印件盖公章，将身份证原件带至开标现场备查</w:t>
      </w:r>
    </w:p>
    <w:p>
      <w:pPr>
        <w:snapToGrid w:val="0"/>
        <w:spacing w:line="420" w:lineRule="exact"/>
        <w:rPr>
          <w:rFonts w:hint="eastAsia" w:ascii="仿宋" w:hAnsi="仿宋" w:eastAsia="仿宋" w:cs="仿宋"/>
          <w:sz w:val="24"/>
          <w:szCs w:val="24"/>
        </w:rPr>
      </w:pPr>
    </w:p>
    <w:p>
      <w:pPr>
        <w:tabs>
          <w:tab w:val="left" w:pos="3585"/>
        </w:tabs>
        <w:spacing w:line="500" w:lineRule="exact"/>
        <w:jc w:val="center"/>
        <w:rPr>
          <w:rFonts w:hint="eastAsia" w:ascii="仿宋" w:hAnsi="仿宋" w:eastAsia="仿宋" w:cs="仿宋"/>
          <w:b/>
          <w:sz w:val="36"/>
          <w:szCs w:val="36"/>
        </w:rPr>
      </w:pPr>
    </w:p>
    <w:p>
      <w:pPr>
        <w:pStyle w:val="2"/>
        <w:rPr>
          <w:rFonts w:hint="eastAsia" w:ascii="仿宋" w:hAnsi="仿宋" w:eastAsia="仿宋" w:cs="仿宋"/>
          <w:b/>
          <w:sz w:val="36"/>
          <w:szCs w:val="36"/>
        </w:rPr>
      </w:pPr>
    </w:p>
    <w:p>
      <w:pPr>
        <w:pStyle w:val="3"/>
        <w:rPr>
          <w:rFonts w:hint="eastAsia" w:ascii="仿宋" w:hAnsi="仿宋" w:eastAsia="仿宋" w:cs="仿宋"/>
          <w:b/>
          <w:sz w:val="36"/>
          <w:szCs w:val="36"/>
        </w:rPr>
      </w:pPr>
    </w:p>
    <w:p>
      <w:pPr>
        <w:rPr>
          <w:rFonts w:hint="eastAsia" w:ascii="仿宋" w:hAnsi="仿宋" w:eastAsia="仿宋" w:cs="仿宋"/>
          <w:b/>
          <w:sz w:val="36"/>
          <w:szCs w:val="36"/>
        </w:rPr>
      </w:pPr>
    </w:p>
    <w:p>
      <w:pPr>
        <w:pStyle w:val="2"/>
        <w:rPr>
          <w:rFonts w:hint="eastAsia" w:ascii="仿宋" w:hAnsi="仿宋" w:eastAsia="仿宋" w:cs="仿宋"/>
          <w:b/>
          <w:sz w:val="36"/>
          <w:szCs w:val="36"/>
        </w:rPr>
      </w:pPr>
    </w:p>
    <w:p>
      <w:pPr>
        <w:pStyle w:val="3"/>
        <w:rPr>
          <w:rFonts w:hint="eastAsia" w:ascii="仿宋" w:hAnsi="仿宋" w:eastAsia="仿宋" w:cs="仿宋"/>
          <w:b/>
          <w:sz w:val="36"/>
          <w:szCs w:val="36"/>
        </w:rPr>
      </w:pPr>
    </w:p>
    <w:p>
      <w:pPr>
        <w:rPr>
          <w:rFonts w:hint="eastAsia"/>
        </w:rPr>
      </w:pPr>
    </w:p>
    <w:p>
      <w:pPr>
        <w:kinsoku w:val="0"/>
        <w:topLinePunct/>
        <w:autoSpaceDE w:val="0"/>
        <w:autoSpaceDN w:val="0"/>
        <w:spacing w:line="500" w:lineRule="atLeast"/>
        <w:ind w:right="210" w:firstLine="451" w:firstLineChars="187"/>
        <w:jc w:val="center"/>
        <w:textAlignment w:val="baseline"/>
        <w:rPr>
          <w:rFonts w:ascii="仿宋" w:hAnsi="仿宋" w:eastAsia="仿宋" w:cs="仿宋"/>
          <w:b/>
          <w:bCs/>
          <w:sz w:val="24"/>
          <w:szCs w:val="24"/>
        </w:rPr>
      </w:pPr>
      <w:r>
        <w:rPr>
          <w:rFonts w:hint="eastAsia" w:ascii="仿宋" w:hAnsi="仿宋" w:eastAsia="仿宋" w:cs="仿宋"/>
          <w:b/>
          <w:bCs/>
          <w:sz w:val="24"/>
          <w:szCs w:val="24"/>
        </w:rPr>
        <w:t>3.符合政府采购法二十二条的书面声明</w:t>
      </w:r>
    </w:p>
    <w:p>
      <w:pPr>
        <w:spacing w:line="360" w:lineRule="auto"/>
        <w:ind w:firstLine="480" w:firstLineChars="200"/>
        <w:jc w:val="both"/>
        <w:rPr>
          <w:rFonts w:ascii="仿宋" w:hAnsi="仿宋" w:eastAsia="仿宋" w:cs="仿宋"/>
          <w:sz w:val="24"/>
          <w:szCs w:val="24"/>
        </w:rPr>
      </w:pPr>
    </w:p>
    <w:p>
      <w:pPr>
        <w:kinsoku w:val="0"/>
        <w:topLinePunct/>
        <w:autoSpaceDE w:val="0"/>
        <w:autoSpaceDN w:val="0"/>
        <w:spacing w:line="500" w:lineRule="atLeast"/>
        <w:ind w:right="210"/>
        <w:jc w:val="both"/>
        <w:textAlignment w:val="baseline"/>
        <w:rPr>
          <w:rFonts w:ascii="仿宋" w:hAnsi="仿宋" w:eastAsia="仿宋" w:cs="仿宋"/>
          <w:sz w:val="24"/>
          <w:szCs w:val="24"/>
        </w:rPr>
      </w:pPr>
      <w:r>
        <w:rPr>
          <w:rFonts w:hint="eastAsia" w:ascii="仿宋" w:hAnsi="仿宋" w:eastAsia="仿宋" w:cs="仿宋"/>
          <w:sz w:val="24"/>
          <w:szCs w:val="24"/>
          <w:lang w:eastAsia="zh-CN"/>
        </w:rPr>
        <w:t>江苏省南通第一中学</w:t>
      </w:r>
      <w:r>
        <w:rPr>
          <w:rFonts w:hint="eastAsia" w:ascii="仿宋" w:hAnsi="仿宋" w:eastAsia="仿宋" w:cs="仿宋"/>
          <w:sz w:val="24"/>
          <w:szCs w:val="24"/>
        </w:rPr>
        <w:t>：</w:t>
      </w:r>
    </w:p>
    <w:p>
      <w:pPr>
        <w:kinsoku w:val="0"/>
        <w:topLinePunct/>
        <w:autoSpaceDE w:val="0"/>
        <w:autoSpaceDN w:val="0"/>
        <w:spacing w:line="500" w:lineRule="atLeast"/>
        <w:ind w:right="210" w:firstLine="448" w:firstLineChars="187"/>
        <w:jc w:val="both"/>
        <w:textAlignment w:val="baseline"/>
        <w:rPr>
          <w:rFonts w:ascii="仿宋" w:hAnsi="仿宋" w:eastAsia="仿宋" w:cs="仿宋"/>
          <w:sz w:val="24"/>
          <w:szCs w:val="24"/>
        </w:rPr>
      </w:pPr>
      <w:r>
        <w:rPr>
          <w:rFonts w:hint="eastAsia" w:ascii="仿宋" w:hAnsi="仿宋" w:eastAsia="仿宋" w:cs="仿宋"/>
          <w:sz w:val="24"/>
          <w:szCs w:val="24"/>
        </w:rPr>
        <w:t>我单位</w:t>
      </w:r>
      <w:r>
        <w:rPr>
          <w:rFonts w:hint="eastAsia" w:ascii="仿宋" w:hAnsi="仿宋" w:eastAsia="仿宋" w:cs="仿宋"/>
          <w:sz w:val="24"/>
          <w:szCs w:val="24"/>
          <w:u w:val="single"/>
        </w:rPr>
        <w:t xml:space="preserve">           （供应商名称）</w:t>
      </w:r>
      <w:r>
        <w:rPr>
          <w:rFonts w:hint="eastAsia" w:ascii="仿宋" w:hAnsi="仿宋" w:eastAsia="仿宋" w:cs="仿宋"/>
          <w:sz w:val="24"/>
          <w:szCs w:val="24"/>
        </w:rPr>
        <w:t>郑重承诺：</w:t>
      </w:r>
    </w:p>
    <w:p>
      <w:pPr>
        <w:kinsoku w:val="0"/>
        <w:topLinePunct/>
        <w:autoSpaceDE w:val="0"/>
        <w:autoSpaceDN w:val="0"/>
        <w:spacing w:line="500" w:lineRule="atLeast"/>
        <w:ind w:right="210" w:firstLine="448" w:firstLineChars="187"/>
        <w:jc w:val="both"/>
        <w:textAlignment w:val="baseline"/>
        <w:rPr>
          <w:rFonts w:ascii="仿宋" w:hAnsi="仿宋" w:eastAsia="仿宋" w:cs="仿宋"/>
          <w:sz w:val="24"/>
          <w:szCs w:val="24"/>
        </w:rPr>
      </w:pPr>
      <w:r>
        <w:rPr>
          <w:rFonts w:hint="eastAsia" w:ascii="仿宋" w:hAnsi="仿宋" w:eastAsia="仿宋" w:cs="仿宋"/>
          <w:sz w:val="24"/>
          <w:szCs w:val="24"/>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kinsoku w:val="0"/>
        <w:topLinePunct/>
        <w:autoSpaceDE w:val="0"/>
        <w:autoSpaceDN w:val="0"/>
        <w:spacing w:line="500" w:lineRule="atLeast"/>
        <w:ind w:right="210" w:firstLine="448" w:firstLineChars="187"/>
        <w:jc w:val="both"/>
        <w:textAlignment w:val="baseline"/>
        <w:rPr>
          <w:rFonts w:ascii="仿宋" w:hAnsi="仿宋" w:eastAsia="仿宋" w:cs="仿宋"/>
          <w:sz w:val="24"/>
          <w:szCs w:val="24"/>
        </w:rPr>
      </w:pPr>
    </w:p>
    <w:p>
      <w:pPr>
        <w:kinsoku w:val="0"/>
        <w:topLinePunct/>
        <w:autoSpaceDE w:val="0"/>
        <w:autoSpaceDN w:val="0"/>
        <w:spacing w:line="500" w:lineRule="atLeast"/>
        <w:ind w:right="210" w:firstLine="448" w:firstLineChars="187"/>
        <w:jc w:val="both"/>
        <w:textAlignment w:val="baseline"/>
        <w:rPr>
          <w:rFonts w:ascii="仿宋" w:hAnsi="仿宋" w:eastAsia="仿宋" w:cs="仿宋"/>
          <w:sz w:val="24"/>
          <w:szCs w:val="24"/>
        </w:rPr>
      </w:pPr>
    </w:p>
    <w:p>
      <w:pPr>
        <w:kinsoku w:val="0"/>
        <w:topLinePunct/>
        <w:autoSpaceDE w:val="0"/>
        <w:autoSpaceDN w:val="0"/>
        <w:spacing w:line="500" w:lineRule="atLeast"/>
        <w:ind w:right="210" w:firstLine="448" w:firstLineChars="187"/>
        <w:jc w:val="both"/>
        <w:textAlignment w:val="baseline"/>
        <w:rPr>
          <w:rFonts w:ascii="仿宋" w:hAnsi="仿宋" w:eastAsia="仿宋" w:cs="仿宋"/>
          <w:sz w:val="24"/>
          <w:szCs w:val="24"/>
        </w:rPr>
      </w:pPr>
      <w:r>
        <w:rPr>
          <w:rFonts w:hint="eastAsia" w:ascii="仿宋" w:hAnsi="仿宋" w:eastAsia="仿宋" w:cs="仿宋"/>
          <w:sz w:val="24"/>
          <w:szCs w:val="24"/>
        </w:rPr>
        <w:t xml:space="preserve">供应商（盖章）：（单位全称） </w:t>
      </w:r>
    </w:p>
    <w:p>
      <w:pPr>
        <w:kinsoku w:val="0"/>
        <w:topLinePunct/>
        <w:autoSpaceDE w:val="0"/>
        <w:autoSpaceDN w:val="0"/>
        <w:spacing w:line="500" w:lineRule="atLeast"/>
        <w:ind w:right="210" w:firstLine="448" w:firstLineChars="187"/>
        <w:jc w:val="both"/>
        <w:textAlignment w:val="baseline"/>
        <w:rPr>
          <w:rFonts w:ascii="仿宋" w:hAnsi="仿宋" w:eastAsia="仿宋" w:cs="仿宋"/>
          <w:sz w:val="24"/>
          <w:szCs w:val="24"/>
        </w:rPr>
      </w:pPr>
      <w:r>
        <w:rPr>
          <w:rFonts w:hint="eastAsia" w:ascii="仿宋" w:hAnsi="仿宋" w:eastAsia="仿宋" w:cs="仿宋"/>
          <w:sz w:val="24"/>
          <w:szCs w:val="24"/>
        </w:rPr>
        <w:t>法定代表人或授权委托人：（签字或盖章）</w:t>
      </w:r>
    </w:p>
    <w:p>
      <w:pPr>
        <w:kinsoku w:val="0"/>
        <w:topLinePunct/>
        <w:autoSpaceDE w:val="0"/>
        <w:autoSpaceDN w:val="0"/>
        <w:spacing w:line="500" w:lineRule="atLeast"/>
        <w:ind w:right="210" w:firstLine="448" w:firstLineChars="187"/>
        <w:jc w:val="both"/>
        <w:textAlignment w:val="baseline"/>
        <w:rPr>
          <w:rFonts w:ascii="仿宋" w:hAnsi="仿宋" w:eastAsia="仿宋" w:cs="仿宋"/>
          <w:sz w:val="24"/>
          <w:szCs w:val="24"/>
        </w:rPr>
      </w:pPr>
      <w:r>
        <w:rPr>
          <w:rFonts w:hint="eastAsia" w:ascii="仿宋" w:hAnsi="仿宋" w:eastAsia="仿宋" w:cs="仿宋"/>
          <w:sz w:val="24"/>
          <w:szCs w:val="24"/>
        </w:rPr>
        <w:t>日期：  年  月  日</w:t>
      </w:r>
    </w:p>
    <w:p>
      <w:pPr>
        <w:ind w:firstLine="480" w:firstLineChars="200"/>
        <w:jc w:val="both"/>
        <w:textAlignment w:val="baseline"/>
        <w:rPr>
          <w:rFonts w:ascii="仿宋" w:hAnsi="仿宋" w:eastAsia="仿宋" w:cs="仿宋"/>
          <w:kern w:val="2"/>
          <w:sz w:val="24"/>
        </w:rPr>
      </w:pPr>
    </w:p>
    <w:p>
      <w:pPr>
        <w:ind w:firstLine="480" w:firstLineChars="200"/>
        <w:jc w:val="both"/>
        <w:textAlignment w:val="baseline"/>
        <w:rPr>
          <w:rFonts w:ascii="仿宋" w:hAnsi="仿宋" w:eastAsia="仿宋" w:cs="仿宋"/>
          <w:kern w:val="2"/>
          <w:sz w:val="24"/>
        </w:rPr>
      </w:pPr>
    </w:p>
    <w:p>
      <w:pPr>
        <w:ind w:firstLine="480" w:firstLineChars="200"/>
        <w:jc w:val="both"/>
        <w:textAlignment w:val="baseline"/>
        <w:rPr>
          <w:rFonts w:ascii="仿宋" w:hAnsi="仿宋" w:eastAsia="仿宋" w:cs="仿宋"/>
          <w:kern w:val="2"/>
          <w:sz w:val="24"/>
        </w:rPr>
      </w:pPr>
    </w:p>
    <w:p>
      <w:pPr>
        <w:ind w:firstLine="480" w:firstLineChars="200"/>
        <w:jc w:val="both"/>
        <w:textAlignment w:val="baseline"/>
        <w:rPr>
          <w:rFonts w:ascii="仿宋" w:hAnsi="仿宋" w:eastAsia="仿宋" w:cs="仿宋"/>
          <w:kern w:val="2"/>
          <w:sz w:val="24"/>
        </w:rPr>
      </w:pPr>
    </w:p>
    <w:p>
      <w:pPr>
        <w:ind w:firstLine="480" w:firstLineChars="200"/>
        <w:jc w:val="both"/>
        <w:textAlignment w:val="baseline"/>
        <w:rPr>
          <w:rFonts w:ascii="仿宋" w:hAnsi="仿宋" w:eastAsia="仿宋" w:cs="仿宋"/>
          <w:kern w:val="2"/>
          <w:sz w:val="24"/>
        </w:rPr>
      </w:pPr>
    </w:p>
    <w:p>
      <w:pPr>
        <w:ind w:firstLine="480" w:firstLineChars="200"/>
        <w:jc w:val="both"/>
        <w:textAlignment w:val="baseline"/>
        <w:rPr>
          <w:rFonts w:ascii="仿宋" w:hAnsi="仿宋" w:eastAsia="仿宋" w:cs="仿宋"/>
          <w:kern w:val="2"/>
          <w:sz w:val="24"/>
        </w:rPr>
      </w:pPr>
    </w:p>
    <w:p>
      <w:pPr>
        <w:ind w:firstLine="480" w:firstLineChars="200"/>
        <w:jc w:val="both"/>
        <w:textAlignment w:val="baseline"/>
        <w:rPr>
          <w:rFonts w:ascii="仿宋" w:hAnsi="仿宋" w:eastAsia="仿宋" w:cs="仿宋"/>
          <w:kern w:val="2"/>
          <w:sz w:val="24"/>
        </w:rPr>
      </w:pPr>
    </w:p>
    <w:p>
      <w:pPr>
        <w:ind w:firstLine="480" w:firstLineChars="200"/>
        <w:jc w:val="both"/>
        <w:textAlignment w:val="baseline"/>
        <w:rPr>
          <w:rFonts w:ascii="仿宋" w:hAnsi="仿宋" w:eastAsia="仿宋" w:cs="仿宋"/>
          <w:kern w:val="2"/>
          <w:sz w:val="24"/>
        </w:rPr>
      </w:pPr>
    </w:p>
    <w:p>
      <w:pPr>
        <w:ind w:firstLine="480" w:firstLineChars="200"/>
        <w:jc w:val="both"/>
        <w:textAlignment w:val="baseline"/>
        <w:rPr>
          <w:rFonts w:ascii="仿宋" w:hAnsi="仿宋" w:eastAsia="仿宋" w:cs="仿宋"/>
          <w:kern w:val="2"/>
          <w:sz w:val="24"/>
        </w:rPr>
      </w:pPr>
    </w:p>
    <w:p>
      <w:pPr>
        <w:pStyle w:val="2"/>
        <w:rPr>
          <w:rFonts w:ascii="仿宋" w:hAnsi="仿宋" w:eastAsia="仿宋" w:cs="仿宋"/>
          <w:kern w:val="2"/>
          <w:sz w:val="24"/>
        </w:rPr>
      </w:pPr>
    </w:p>
    <w:p>
      <w:pPr>
        <w:pStyle w:val="3"/>
      </w:pPr>
    </w:p>
    <w:p>
      <w:pPr>
        <w:ind w:firstLine="480" w:firstLineChars="200"/>
        <w:jc w:val="both"/>
        <w:textAlignment w:val="baseline"/>
        <w:rPr>
          <w:rFonts w:ascii="仿宋" w:hAnsi="仿宋" w:eastAsia="仿宋" w:cs="仿宋"/>
          <w:kern w:val="2"/>
          <w:sz w:val="24"/>
        </w:rPr>
      </w:pPr>
    </w:p>
    <w:p>
      <w:pPr>
        <w:ind w:firstLine="480" w:firstLineChars="200"/>
        <w:jc w:val="both"/>
        <w:textAlignment w:val="baseline"/>
        <w:rPr>
          <w:rFonts w:ascii="仿宋" w:hAnsi="仿宋" w:eastAsia="仿宋" w:cs="仿宋"/>
          <w:kern w:val="2"/>
          <w:sz w:val="24"/>
        </w:rPr>
      </w:pPr>
    </w:p>
    <w:p>
      <w:pPr>
        <w:spacing w:line="360" w:lineRule="auto"/>
        <w:jc w:val="center"/>
        <w:outlineLvl w:val="4"/>
        <w:rPr>
          <w:rFonts w:ascii="仿宋" w:hAnsi="仿宋" w:eastAsia="仿宋" w:cs="仿宋"/>
          <w:b/>
          <w:bCs/>
          <w:sz w:val="24"/>
          <w:szCs w:val="24"/>
        </w:rPr>
      </w:pPr>
      <w:r>
        <w:rPr>
          <w:rFonts w:hint="eastAsia" w:ascii="仿宋" w:hAnsi="仿宋" w:eastAsia="仿宋" w:cs="仿宋"/>
          <w:b/>
          <w:bCs/>
          <w:sz w:val="24"/>
          <w:szCs w:val="24"/>
        </w:rPr>
        <w:t>4、无重大违法记录声明</w:t>
      </w:r>
    </w:p>
    <w:p>
      <w:pPr>
        <w:spacing w:line="360" w:lineRule="auto"/>
        <w:jc w:val="both"/>
        <w:rPr>
          <w:rFonts w:ascii="仿宋" w:hAnsi="仿宋" w:eastAsia="仿宋" w:cs="仿宋"/>
          <w:sz w:val="24"/>
          <w:szCs w:val="24"/>
        </w:rPr>
      </w:pPr>
      <w:r>
        <w:rPr>
          <w:rFonts w:hint="eastAsia" w:ascii="仿宋" w:hAnsi="仿宋" w:eastAsia="仿宋" w:cs="仿宋"/>
          <w:sz w:val="24"/>
          <w:szCs w:val="24"/>
          <w:lang w:eastAsia="zh-CN"/>
        </w:rPr>
        <w:t>江苏省南通第一中学</w:t>
      </w:r>
      <w:r>
        <w:rPr>
          <w:rFonts w:hint="eastAsia" w:ascii="仿宋" w:hAnsi="仿宋" w:eastAsia="仿宋" w:cs="仿宋"/>
          <w:sz w:val="24"/>
          <w:szCs w:val="24"/>
        </w:rPr>
        <w:t>：</w:t>
      </w:r>
    </w:p>
    <w:p>
      <w:pPr>
        <w:spacing w:line="360" w:lineRule="auto"/>
        <w:jc w:val="both"/>
        <w:rPr>
          <w:rFonts w:ascii="仿宋" w:hAnsi="仿宋" w:eastAsia="仿宋" w:cs="仿宋"/>
          <w:sz w:val="24"/>
          <w:szCs w:val="24"/>
        </w:rPr>
      </w:pPr>
      <w:r>
        <w:rPr>
          <w:rFonts w:hint="eastAsia" w:ascii="仿宋" w:hAnsi="仿宋" w:eastAsia="仿宋" w:cs="仿宋"/>
          <w:sz w:val="24"/>
          <w:szCs w:val="24"/>
        </w:rPr>
        <w:t xml:space="preserve">    我单位（投标人名称）郑重声明：</w:t>
      </w:r>
    </w:p>
    <w:p>
      <w:pPr>
        <w:spacing w:line="360" w:lineRule="auto"/>
        <w:jc w:val="both"/>
        <w:rPr>
          <w:rFonts w:ascii="仿宋" w:hAnsi="仿宋" w:eastAsia="仿宋" w:cs="仿宋"/>
          <w:sz w:val="24"/>
          <w:szCs w:val="24"/>
        </w:rPr>
      </w:pPr>
      <w:r>
        <w:rPr>
          <w:rFonts w:hint="eastAsia" w:ascii="仿宋" w:hAnsi="仿宋" w:eastAsia="仿宋" w:cs="仿宋"/>
          <w:sz w:val="24"/>
          <w:szCs w:val="24"/>
        </w:rPr>
        <w:t xml:space="preserve">    参加政府采购活动前3年内在经营活动中（在下划线上如实填写：有或没有）重大违法记录。</w:t>
      </w:r>
    </w:p>
    <w:p>
      <w:pPr>
        <w:spacing w:line="360" w:lineRule="auto"/>
        <w:ind w:firstLine="480"/>
        <w:jc w:val="both"/>
        <w:rPr>
          <w:rFonts w:ascii="仿宋" w:hAnsi="仿宋" w:eastAsia="仿宋" w:cs="仿宋"/>
          <w:sz w:val="24"/>
          <w:szCs w:val="24"/>
        </w:rPr>
      </w:pPr>
      <w:r>
        <w:rPr>
          <w:rFonts w:hint="eastAsia" w:ascii="仿宋" w:hAnsi="仿宋" w:eastAsia="仿宋" w:cs="仿宋"/>
          <w:sz w:val="24"/>
          <w:szCs w:val="24"/>
        </w:rPr>
        <w:t>在投标截止时间节点，没有被“信用中国”（www.creditchina.gov.cn）、“中国政府采购网”（www.ccgp.gov.cn）、“信用江苏”（www.jscredit.cn/index.htm）网站列入失信被执行人、重大税收违法案件当事人名单、政府采购严重违法失信行为记录名单。</w:t>
      </w:r>
    </w:p>
    <w:p>
      <w:pPr>
        <w:spacing w:line="360" w:lineRule="auto"/>
        <w:ind w:firstLine="480"/>
        <w:jc w:val="both"/>
        <w:rPr>
          <w:rFonts w:ascii="仿宋" w:hAnsi="仿宋" w:eastAsia="仿宋" w:cs="仿宋"/>
          <w:sz w:val="24"/>
          <w:szCs w:val="24"/>
        </w:rPr>
      </w:pPr>
    </w:p>
    <w:p>
      <w:pPr>
        <w:spacing w:line="360" w:lineRule="auto"/>
        <w:ind w:firstLine="480"/>
        <w:jc w:val="both"/>
        <w:rPr>
          <w:rFonts w:ascii="仿宋" w:hAnsi="仿宋" w:eastAsia="仿宋" w:cs="仿宋"/>
          <w:sz w:val="24"/>
          <w:szCs w:val="24"/>
        </w:rPr>
      </w:pPr>
      <w:r>
        <w:rPr>
          <w:rFonts w:hint="eastAsia" w:ascii="仿宋" w:hAnsi="仿宋" w:eastAsia="仿宋" w:cs="仿宋"/>
          <w:sz w:val="24"/>
          <w:szCs w:val="24"/>
        </w:rPr>
        <w:t>（说明：政府采购法第二十二条第一款第五项所称重大违法记录，是指供应商因违法经营受到刑事处罚或者责令停产停业、吊销许可证或者执照、较大数额罚款等行政处罚。）</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 xml:space="preserve">                            投标人：（加盖公章）</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法定代表人或被授权人：（签字或盖章）</w:t>
      </w:r>
    </w:p>
    <w:p>
      <w:pPr>
        <w:spacing w:line="360" w:lineRule="auto"/>
        <w:ind w:firstLine="1320" w:firstLineChars="550"/>
        <w:jc w:val="both"/>
        <w:rPr>
          <w:rFonts w:ascii="仿宋" w:hAnsi="仿宋" w:eastAsia="仿宋" w:cs="仿宋"/>
          <w:sz w:val="24"/>
          <w:szCs w:val="24"/>
        </w:rPr>
      </w:pPr>
      <w:r>
        <w:rPr>
          <w:rFonts w:hint="eastAsia" w:ascii="仿宋" w:hAnsi="仿宋" w:eastAsia="仿宋" w:cs="仿宋"/>
          <w:sz w:val="24"/>
          <w:szCs w:val="24"/>
        </w:rPr>
        <w:t>年      月     日</w:t>
      </w:r>
    </w:p>
    <w:p>
      <w:pPr>
        <w:tabs>
          <w:tab w:val="left" w:pos="3585"/>
        </w:tabs>
        <w:spacing w:line="500" w:lineRule="exact"/>
        <w:jc w:val="center"/>
        <w:rPr>
          <w:rFonts w:hint="eastAsia" w:ascii="仿宋" w:hAnsi="仿宋" w:eastAsia="仿宋" w:cs="仿宋"/>
          <w:b/>
          <w:sz w:val="36"/>
          <w:szCs w:val="36"/>
        </w:rPr>
      </w:pPr>
    </w:p>
    <w:p>
      <w:pPr>
        <w:tabs>
          <w:tab w:val="left" w:pos="3585"/>
        </w:tabs>
        <w:spacing w:line="500" w:lineRule="exact"/>
        <w:jc w:val="center"/>
        <w:rPr>
          <w:rFonts w:hint="eastAsia" w:ascii="仿宋" w:hAnsi="仿宋" w:eastAsia="仿宋" w:cs="仿宋"/>
          <w:b/>
          <w:sz w:val="36"/>
          <w:szCs w:val="36"/>
        </w:rPr>
      </w:pPr>
    </w:p>
    <w:p>
      <w:pPr>
        <w:tabs>
          <w:tab w:val="left" w:pos="3585"/>
        </w:tabs>
        <w:spacing w:line="500" w:lineRule="exact"/>
        <w:jc w:val="center"/>
        <w:rPr>
          <w:rFonts w:hint="eastAsia" w:ascii="仿宋" w:hAnsi="仿宋" w:eastAsia="仿宋" w:cs="仿宋"/>
          <w:b/>
          <w:sz w:val="36"/>
          <w:szCs w:val="36"/>
        </w:rPr>
      </w:pPr>
    </w:p>
    <w:p>
      <w:pPr>
        <w:tabs>
          <w:tab w:val="left" w:pos="3585"/>
        </w:tabs>
        <w:spacing w:line="500" w:lineRule="exact"/>
        <w:jc w:val="center"/>
        <w:rPr>
          <w:rFonts w:hint="eastAsia" w:ascii="仿宋" w:hAnsi="仿宋" w:eastAsia="仿宋" w:cs="仿宋"/>
          <w:b/>
          <w:sz w:val="36"/>
          <w:szCs w:val="36"/>
        </w:rPr>
      </w:pPr>
    </w:p>
    <w:p>
      <w:pPr>
        <w:tabs>
          <w:tab w:val="left" w:pos="3585"/>
        </w:tabs>
        <w:spacing w:line="500" w:lineRule="exact"/>
        <w:jc w:val="center"/>
        <w:rPr>
          <w:rFonts w:hint="eastAsia" w:ascii="仿宋" w:hAnsi="仿宋" w:eastAsia="仿宋" w:cs="仿宋"/>
          <w:b/>
          <w:sz w:val="36"/>
          <w:szCs w:val="36"/>
        </w:rPr>
      </w:pPr>
    </w:p>
    <w:p>
      <w:pPr>
        <w:tabs>
          <w:tab w:val="left" w:pos="3585"/>
        </w:tabs>
        <w:spacing w:line="500" w:lineRule="exact"/>
        <w:jc w:val="center"/>
        <w:rPr>
          <w:rFonts w:hint="eastAsia" w:ascii="仿宋" w:hAnsi="仿宋" w:eastAsia="仿宋" w:cs="仿宋"/>
          <w:b/>
          <w:sz w:val="36"/>
          <w:szCs w:val="36"/>
        </w:rPr>
      </w:pPr>
    </w:p>
    <w:p>
      <w:pPr>
        <w:tabs>
          <w:tab w:val="left" w:pos="3585"/>
        </w:tabs>
        <w:spacing w:line="500" w:lineRule="exact"/>
        <w:jc w:val="center"/>
        <w:rPr>
          <w:rFonts w:hint="eastAsia" w:ascii="仿宋" w:hAnsi="仿宋" w:eastAsia="仿宋" w:cs="仿宋"/>
          <w:b/>
          <w:sz w:val="28"/>
          <w:szCs w:val="28"/>
        </w:rPr>
      </w:pPr>
      <w:r>
        <w:rPr>
          <w:rFonts w:hint="eastAsia" w:ascii="仿宋" w:hAnsi="仿宋" w:eastAsia="仿宋" w:cs="仿宋"/>
          <w:b/>
          <w:sz w:val="28"/>
          <w:szCs w:val="28"/>
          <w:lang w:val="en-US" w:eastAsia="zh-CN"/>
        </w:rPr>
        <w:t>5.</w:t>
      </w:r>
      <w:r>
        <w:rPr>
          <w:rFonts w:hint="eastAsia" w:ascii="仿宋" w:hAnsi="仿宋" w:eastAsia="仿宋" w:cs="仿宋"/>
          <w:b/>
          <w:sz w:val="28"/>
          <w:szCs w:val="28"/>
        </w:rPr>
        <w:t>供货承诺书</w:t>
      </w:r>
    </w:p>
    <w:p>
      <w:pPr>
        <w:kinsoku w:val="0"/>
        <w:topLinePunct/>
        <w:autoSpaceDE w:val="0"/>
        <w:autoSpaceDN w:val="0"/>
        <w:adjustRightInd w:val="0"/>
        <w:snapToGrid w:val="0"/>
        <w:spacing w:line="500" w:lineRule="atLeast"/>
        <w:ind w:right="210"/>
        <w:textAlignment w:val="baseline"/>
        <w:rPr>
          <w:rFonts w:hint="eastAsia" w:ascii="仿宋" w:hAnsi="仿宋" w:eastAsia="仿宋" w:cs="仿宋"/>
          <w:sz w:val="24"/>
        </w:rPr>
      </w:pPr>
      <w:r>
        <w:rPr>
          <w:rFonts w:hint="eastAsia" w:ascii="仿宋" w:hAnsi="仿宋" w:eastAsia="仿宋" w:cs="仿宋"/>
          <w:sz w:val="24"/>
        </w:rPr>
        <w:t>江苏省南通第一中学：</w:t>
      </w:r>
    </w:p>
    <w:p>
      <w:pPr>
        <w:kinsoku w:val="0"/>
        <w:topLinePunct/>
        <w:autoSpaceDE w:val="0"/>
        <w:autoSpaceDN w:val="0"/>
        <w:adjustRightInd w:val="0"/>
        <w:snapToGrid w:val="0"/>
        <w:spacing w:line="500" w:lineRule="atLeast"/>
        <w:ind w:right="210" w:firstLine="448" w:firstLineChars="187"/>
        <w:textAlignment w:val="baseline"/>
        <w:rPr>
          <w:rFonts w:hint="eastAsia" w:ascii="仿宋" w:hAnsi="仿宋" w:eastAsia="仿宋" w:cs="仿宋"/>
          <w:sz w:val="24"/>
        </w:rPr>
      </w:pPr>
      <w:r>
        <w:rPr>
          <w:rFonts w:hint="eastAsia" w:ascii="仿宋" w:hAnsi="仿宋" w:eastAsia="仿宋" w:cs="仿宋"/>
          <w:sz w:val="24"/>
        </w:rPr>
        <w:t>_____________________公司（中标方）承诺做到：严格按照标书和合同条款履行中标供应商的责职，</w:t>
      </w:r>
      <w:r>
        <w:rPr>
          <w:rFonts w:hint="eastAsia" w:ascii="仿宋" w:hAnsi="仿宋" w:eastAsia="仿宋" w:cs="仿宋"/>
          <w:sz w:val="24"/>
          <w:szCs w:val="24"/>
        </w:rPr>
        <w:t>根据学校购货计划，按时、保质、保量将原辅料送到学校指定库房，并满足适度的加工要求，如遇货源紧缺等特殊情况，必须履行供货合同，首先确保向学校供货。</w:t>
      </w:r>
    </w:p>
    <w:p>
      <w:pPr>
        <w:kinsoku w:val="0"/>
        <w:topLinePunct/>
        <w:autoSpaceDE w:val="0"/>
        <w:autoSpaceDN w:val="0"/>
        <w:adjustRightInd w:val="0"/>
        <w:snapToGrid w:val="0"/>
        <w:spacing w:line="500" w:lineRule="atLeast"/>
        <w:ind w:right="210" w:firstLine="448" w:firstLineChars="187"/>
        <w:textAlignment w:val="baseline"/>
        <w:rPr>
          <w:rFonts w:hint="eastAsia" w:ascii="仿宋" w:hAnsi="仿宋" w:eastAsia="仿宋" w:cs="仿宋"/>
          <w:sz w:val="24"/>
        </w:rPr>
      </w:pPr>
      <w:r>
        <w:rPr>
          <w:rFonts w:hint="eastAsia" w:ascii="仿宋" w:hAnsi="仿宋" w:eastAsia="仿宋" w:cs="仿宋"/>
          <w:sz w:val="24"/>
        </w:rPr>
        <w:t>我公司如违反合同，自愿接受政府采购部门根据《政府采购法》及其相关法规和《南通市市场廉政准入暂行规定》(通纪发〔2005〕28号)给予的如下处罚：</w:t>
      </w:r>
    </w:p>
    <w:p>
      <w:pPr>
        <w:kinsoku w:val="0"/>
        <w:topLinePunct/>
        <w:autoSpaceDE w:val="0"/>
        <w:autoSpaceDN w:val="0"/>
        <w:adjustRightInd w:val="0"/>
        <w:snapToGrid w:val="0"/>
        <w:spacing w:line="500" w:lineRule="atLeast"/>
        <w:ind w:right="210" w:firstLine="448" w:firstLineChars="187"/>
        <w:textAlignment w:val="baseline"/>
        <w:rPr>
          <w:rFonts w:hint="eastAsia" w:ascii="仿宋" w:hAnsi="仿宋" w:eastAsia="仿宋" w:cs="仿宋"/>
          <w:sz w:val="24"/>
        </w:rPr>
      </w:pPr>
      <w:r>
        <w:rPr>
          <w:rFonts w:hint="eastAsia" w:ascii="仿宋" w:hAnsi="仿宋" w:eastAsia="仿宋" w:cs="仿宋"/>
          <w:sz w:val="24"/>
        </w:rPr>
        <w:t>1.参加采购的成交无效；</w:t>
      </w:r>
    </w:p>
    <w:p>
      <w:pPr>
        <w:kinsoku w:val="0"/>
        <w:topLinePunct/>
        <w:autoSpaceDE w:val="0"/>
        <w:autoSpaceDN w:val="0"/>
        <w:adjustRightInd w:val="0"/>
        <w:snapToGrid w:val="0"/>
        <w:spacing w:line="500" w:lineRule="atLeast"/>
        <w:ind w:right="210" w:firstLine="448" w:firstLineChars="187"/>
        <w:textAlignment w:val="baseline"/>
        <w:rPr>
          <w:rFonts w:hint="eastAsia" w:ascii="仿宋" w:hAnsi="仿宋" w:eastAsia="仿宋" w:cs="仿宋"/>
          <w:sz w:val="24"/>
        </w:rPr>
      </w:pPr>
      <w:r>
        <w:rPr>
          <w:rFonts w:hint="eastAsia" w:ascii="仿宋" w:hAnsi="仿宋" w:eastAsia="仿宋" w:cs="仿宋"/>
          <w:sz w:val="24"/>
        </w:rPr>
        <w:t>2.处以采购金额千分之五以上千分之十以下的罚款；</w:t>
      </w:r>
    </w:p>
    <w:p>
      <w:pPr>
        <w:kinsoku w:val="0"/>
        <w:topLinePunct/>
        <w:autoSpaceDE w:val="0"/>
        <w:autoSpaceDN w:val="0"/>
        <w:adjustRightInd w:val="0"/>
        <w:snapToGrid w:val="0"/>
        <w:spacing w:line="500" w:lineRule="atLeast"/>
        <w:ind w:right="210" w:firstLine="448" w:firstLineChars="187"/>
        <w:textAlignment w:val="baseline"/>
        <w:rPr>
          <w:rFonts w:hint="eastAsia" w:ascii="仿宋" w:hAnsi="仿宋" w:eastAsia="仿宋" w:cs="仿宋"/>
          <w:sz w:val="24"/>
        </w:rPr>
      </w:pPr>
      <w:r>
        <w:rPr>
          <w:rFonts w:hint="eastAsia" w:ascii="仿宋" w:hAnsi="仿宋" w:eastAsia="仿宋" w:cs="仿宋"/>
          <w:sz w:val="24"/>
        </w:rPr>
        <w:t>3.采购中心对不良行为予以记录并公告；</w:t>
      </w:r>
    </w:p>
    <w:p>
      <w:pPr>
        <w:kinsoku w:val="0"/>
        <w:topLinePunct/>
        <w:autoSpaceDE w:val="0"/>
        <w:autoSpaceDN w:val="0"/>
        <w:adjustRightInd w:val="0"/>
        <w:snapToGrid w:val="0"/>
        <w:spacing w:line="500" w:lineRule="atLeast"/>
        <w:ind w:right="210" w:firstLine="448" w:firstLineChars="187"/>
        <w:textAlignment w:val="baseline"/>
        <w:rPr>
          <w:rFonts w:hint="eastAsia" w:ascii="仿宋" w:hAnsi="仿宋" w:eastAsia="仿宋" w:cs="仿宋"/>
          <w:sz w:val="24"/>
        </w:rPr>
      </w:pPr>
      <w:r>
        <w:rPr>
          <w:rFonts w:hint="eastAsia" w:ascii="仿宋" w:hAnsi="仿宋" w:eastAsia="仿宋" w:cs="仿宋"/>
          <w:sz w:val="24"/>
        </w:rPr>
        <w:t>4.半年至三年内禁止参加教育部门集中采购活动；</w:t>
      </w:r>
    </w:p>
    <w:p>
      <w:pPr>
        <w:kinsoku w:val="0"/>
        <w:topLinePunct/>
        <w:autoSpaceDE w:val="0"/>
        <w:autoSpaceDN w:val="0"/>
        <w:adjustRightInd w:val="0"/>
        <w:snapToGrid w:val="0"/>
        <w:spacing w:line="500" w:lineRule="atLeast"/>
        <w:ind w:right="210" w:firstLine="448" w:firstLineChars="187"/>
        <w:textAlignment w:val="baseline"/>
        <w:rPr>
          <w:rFonts w:hint="eastAsia" w:ascii="仿宋" w:hAnsi="仿宋" w:eastAsia="仿宋" w:cs="仿宋"/>
          <w:sz w:val="24"/>
        </w:rPr>
      </w:pPr>
      <w:r>
        <w:rPr>
          <w:rFonts w:hint="eastAsia" w:ascii="仿宋" w:hAnsi="仿宋" w:eastAsia="仿宋" w:cs="仿宋"/>
          <w:sz w:val="24"/>
        </w:rPr>
        <w:t>5.情节严重的，报请有关部门依法追究相关责任。</w:t>
      </w:r>
    </w:p>
    <w:p>
      <w:pPr>
        <w:spacing w:line="440" w:lineRule="atLeast"/>
        <w:ind w:right="700" w:firstLine="3510" w:firstLineChars="1300"/>
        <w:rPr>
          <w:rFonts w:hint="eastAsia" w:ascii="仿宋" w:hAnsi="仿宋" w:eastAsia="仿宋" w:cs="仿宋"/>
          <w:spacing w:val="15"/>
          <w:sz w:val="24"/>
        </w:rPr>
      </w:pPr>
    </w:p>
    <w:p>
      <w:pPr>
        <w:spacing w:line="440" w:lineRule="atLeast"/>
        <w:ind w:right="700" w:firstLine="3510" w:firstLineChars="1300"/>
        <w:rPr>
          <w:rFonts w:hint="eastAsia" w:ascii="仿宋" w:hAnsi="仿宋" w:eastAsia="仿宋" w:cs="仿宋"/>
          <w:spacing w:val="15"/>
          <w:sz w:val="24"/>
        </w:rPr>
      </w:pPr>
    </w:p>
    <w:p>
      <w:pPr>
        <w:spacing w:line="440" w:lineRule="atLeast"/>
        <w:ind w:right="700" w:firstLine="3510" w:firstLineChars="1300"/>
        <w:rPr>
          <w:rFonts w:hint="eastAsia" w:ascii="仿宋" w:hAnsi="仿宋" w:eastAsia="仿宋" w:cs="仿宋"/>
          <w:spacing w:val="15"/>
          <w:sz w:val="24"/>
        </w:rPr>
      </w:pPr>
      <w:r>
        <w:rPr>
          <w:rFonts w:hint="eastAsia" w:ascii="仿宋" w:hAnsi="仿宋" w:eastAsia="仿宋" w:cs="仿宋"/>
          <w:spacing w:val="15"/>
          <w:sz w:val="24"/>
        </w:rPr>
        <w:t>承 诺 人：</w:t>
      </w:r>
    </w:p>
    <w:p>
      <w:pPr>
        <w:spacing w:line="440" w:lineRule="atLeast"/>
        <w:ind w:right="700" w:firstLine="3510" w:firstLineChars="1300"/>
        <w:rPr>
          <w:rFonts w:hint="eastAsia" w:ascii="仿宋" w:hAnsi="仿宋" w:eastAsia="仿宋" w:cs="仿宋"/>
          <w:spacing w:val="15"/>
          <w:sz w:val="24"/>
        </w:rPr>
      </w:pPr>
      <w:r>
        <w:rPr>
          <w:rFonts w:hint="eastAsia" w:ascii="仿宋" w:hAnsi="仿宋" w:eastAsia="仿宋" w:cs="仿宋"/>
          <w:spacing w:val="15"/>
          <w:sz w:val="24"/>
        </w:rPr>
        <w:t>承诺单位：</w:t>
      </w:r>
    </w:p>
    <w:p>
      <w:pPr>
        <w:kinsoku w:val="0"/>
        <w:topLinePunct/>
        <w:autoSpaceDE w:val="0"/>
        <w:autoSpaceDN w:val="0"/>
        <w:adjustRightInd w:val="0"/>
        <w:snapToGrid w:val="0"/>
        <w:spacing w:line="500" w:lineRule="atLeast"/>
        <w:ind w:right="210" w:firstLine="448" w:firstLineChars="187"/>
        <w:jc w:val="right"/>
        <w:textAlignment w:val="baseline"/>
        <w:rPr>
          <w:rFonts w:hint="eastAsia" w:ascii="仿宋" w:hAnsi="仿宋" w:eastAsia="仿宋" w:cs="仿宋"/>
          <w:sz w:val="24"/>
          <w:szCs w:val="22"/>
        </w:rPr>
        <w:sectPr>
          <w:pgSz w:w="11906" w:h="16838"/>
          <w:pgMar w:top="1361" w:right="1361" w:bottom="1361" w:left="1361" w:header="851" w:footer="992" w:gutter="0"/>
          <w:cols w:space="720" w:num="1"/>
          <w:rtlGutter w:val="1"/>
          <w:docGrid w:type="lines" w:linePitch="328" w:charSpace="0"/>
        </w:sectPr>
      </w:pPr>
      <w:r>
        <w:rPr>
          <w:rFonts w:hint="eastAsia" w:ascii="仿宋" w:hAnsi="仿宋" w:eastAsia="仿宋" w:cs="仿宋"/>
          <w:sz w:val="24"/>
          <w:szCs w:val="22"/>
        </w:rPr>
        <w:t>年   月   日 </w:t>
      </w:r>
    </w:p>
    <w:p>
      <w:pPr>
        <w:tabs>
          <w:tab w:val="left" w:pos="3585"/>
        </w:tabs>
        <w:spacing w:line="500" w:lineRule="exact"/>
        <w:jc w:val="cente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6.承诺书</w:t>
      </w:r>
    </w:p>
    <w:p>
      <w:pPr>
        <w:spacing w:after="0" w:line="540" w:lineRule="exact"/>
        <w:ind w:firstLine="560" w:firstLineChars="200"/>
        <w:jc w:val="both"/>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供应商在合同履约过程中，没有违约现象，没有单方面不执行合同条款的先例（提供书面承诺，格式自拟。经查实投标人承诺不实的视为虚假投标）；</w:t>
      </w:r>
    </w:p>
    <w:p>
      <w:pPr>
        <w:spacing w:line="440" w:lineRule="atLeast"/>
        <w:ind w:right="566"/>
        <w:jc w:val="both"/>
        <w:rPr>
          <w:rFonts w:hint="default" w:ascii="仿宋" w:hAnsi="仿宋" w:eastAsia="仿宋" w:cs="仿宋"/>
          <w:spacing w:val="15"/>
          <w:sz w:val="28"/>
          <w:szCs w:val="28"/>
          <w:lang w:val="en-US" w:eastAsia="zh-CN"/>
        </w:rPr>
      </w:pPr>
    </w:p>
    <w:p>
      <w:pPr>
        <w:spacing w:line="440" w:lineRule="atLeast"/>
        <w:ind w:right="1186"/>
        <w:jc w:val="right"/>
        <w:rPr>
          <w:rFonts w:hint="eastAsia" w:ascii="仿宋" w:hAnsi="仿宋" w:eastAsia="仿宋" w:cs="仿宋"/>
          <w:spacing w:val="15"/>
          <w:sz w:val="28"/>
          <w:szCs w:val="28"/>
        </w:rPr>
        <w:sectPr>
          <w:pgSz w:w="11906" w:h="16838"/>
          <w:pgMar w:top="1361" w:right="1361" w:bottom="1361" w:left="1361" w:header="851" w:footer="992" w:gutter="0"/>
          <w:cols w:space="720" w:num="1"/>
          <w:rtlGutter w:val="1"/>
          <w:docGrid w:type="lines" w:linePitch="328" w:charSpace="0"/>
        </w:sectPr>
      </w:pPr>
    </w:p>
    <w:p>
      <w:pPr>
        <w:overflowPunct w:val="0"/>
        <w:adjustRightInd w:val="0"/>
        <w:spacing w:line="360" w:lineRule="auto"/>
        <w:jc w:val="left"/>
        <w:textAlignment w:val="baseline"/>
        <w:rPr>
          <w:rFonts w:hint="eastAsia" w:ascii="仿宋" w:hAnsi="仿宋" w:eastAsia="仿宋" w:cs="仿宋"/>
          <w:b/>
          <w:sz w:val="24"/>
          <w:szCs w:val="24"/>
          <w:lang w:eastAsia="zh-CN"/>
        </w:rPr>
      </w:pPr>
      <w:r>
        <w:rPr>
          <w:rFonts w:hint="eastAsia" w:ascii="仿宋" w:hAnsi="仿宋" w:eastAsia="仿宋" w:cs="仿宋"/>
          <w:b/>
          <w:sz w:val="24"/>
          <w:szCs w:val="24"/>
        </w:rPr>
        <w:t>二、商务报价响应文件相关的格式文件及表格</w:t>
      </w:r>
      <w:r>
        <w:rPr>
          <w:rFonts w:hint="eastAsia" w:ascii="仿宋" w:hAnsi="仿宋" w:eastAsia="仿宋" w:cs="仿宋"/>
          <w:b/>
          <w:sz w:val="24"/>
          <w:szCs w:val="24"/>
          <w:lang w:eastAsia="zh-CN"/>
        </w:rPr>
        <w:t>（密封）</w:t>
      </w:r>
    </w:p>
    <w:p>
      <w:pPr>
        <w:spacing w:line="360" w:lineRule="auto"/>
        <w:jc w:val="center"/>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开标一览表</w:t>
      </w:r>
    </w:p>
    <w:p>
      <w:pPr>
        <w:jc w:val="both"/>
        <w:rPr>
          <w:rFonts w:ascii="仿宋" w:hAnsi="仿宋" w:eastAsia="仿宋" w:cs="仿宋"/>
          <w:sz w:val="24"/>
          <w:szCs w:val="24"/>
        </w:rPr>
      </w:pPr>
      <w:r>
        <w:rPr>
          <w:rFonts w:hint="eastAsia" w:ascii="仿宋" w:hAnsi="仿宋" w:eastAsia="仿宋" w:cs="仿宋"/>
          <w:sz w:val="24"/>
          <w:szCs w:val="24"/>
        </w:rPr>
        <w:t>投标人全称（加盖公章）：</w:t>
      </w:r>
    </w:p>
    <w:p>
      <w:pPr>
        <w:jc w:val="both"/>
        <w:rPr>
          <w:rFonts w:hint="eastAsia" w:ascii="仿宋" w:hAnsi="仿宋" w:eastAsia="仿宋" w:cs="仿宋"/>
          <w:sz w:val="24"/>
          <w:szCs w:val="24"/>
          <w:lang w:eastAsia="zh-CN"/>
        </w:rPr>
      </w:pPr>
      <w:r>
        <w:rPr>
          <w:rFonts w:hint="eastAsia" w:ascii="仿宋" w:hAnsi="仿宋" w:eastAsia="仿宋" w:cs="仿宋"/>
          <w:sz w:val="24"/>
          <w:szCs w:val="24"/>
        </w:rPr>
        <w:t>项目名称：</w:t>
      </w:r>
      <w:r>
        <w:rPr>
          <w:rFonts w:hint="eastAsia" w:ascii="仿宋" w:hAnsi="仿宋" w:eastAsia="仿宋" w:cs="仿宋"/>
          <w:sz w:val="24"/>
          <w:szCs w:val="24"/>
          <w:lang w:eastAsia="zh-CN"/>
        </w:rPr>
        <w:t>江苏省南通第一中学食堂大宗物资采购项目（米面类食材）</w:t>
      </w:r>
    </w:p>
    <w:p>
      <w:pPr>
        <w:jc w:val="both"/>
        <w:rPr>
          <w:rFonts w:ascii="仿宋" w:hAnsi="仿宋" w:eastAsia="仿宋" w:cs="仿宋"/>
          <w:sz w:val="24"/>
          <w:szCs w:val="24"/>
        </w:rPr>
      </w:pPr>
      <w:r>
        <w:rPr>
          <w:rFonts w:hint="eastAsia" w:ascii="仿宋" w:hAnsi="仿宋" w:eastAsia="仿宋" w:cs="仿宋"/>
          <w:sz w:val="24"/>
          <w:szCs w:val="24"/>
        </w:rPr>
        <w:t>项</w:t>
      </w:r>
      <w:r>
        <w:rPr>
          <w:rFonts w:hint="eastAsia" w:ascii="仿宋" w:hAnsi="仿宋" w:eastAsia="仿宋" w:cs="仿宋"/>
          <w:sz w:val="24"/>
          <w:szCs w:val="24"/>
          <w:lang w:eastAsia="zh-CN"/>
        </w:rPr>
        <w:t>目编号：ZRNT20220608</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2379" w:type="dxa"/>
            <w:vAlign w:val="center"/>
          </w:tcPr>
          <w:p>
            <w:pPr>
              <w:spacing w:after="0"/>
              <w:jc w:val="both"/>
              <w:rPr>
                <w:rFonts w:ascii="仿宋" w:hAnsi="仿宋" w:eastAsia="仿宋" w:cs="仿宋"/>
                <w:sz w:val="24"/>
                <w:szCs w:val="24"/>
              </w:rPr>
            </w:pPr>
            <w:r>
              <w:rPr>
                <w:rFonts w:hint="eastAsia" w:ascii="仿宋" w:hAnsi="仿宋" w:eastAsia="仿宋" w:cs="仿宋"/>
                <w:sz w:val="24"/>
                <w:szCs w:val="24"/>
              </w:rPr>
              <w:t>投标货物、服务名称</w:t>
            </w:r>
          </w:p>
        </w:tc>
        <w:tc>
          <w:tcPr>
            <w:tcW w:w="6143" w:type="dxa"/>
            <w:vAlign w:val="center"/>
          </w:tcPr>
          <w:p>
            <w:pPr>
              <w:spacing w:after="0"/>
              <w:jc w:val="both"/>
              <w:rPr>
                <w:rFonts w:ascii="仿宋" w:hAnsi="仿宋" w:eastAsia="仿宋" w:cs="仿宋"/>
                <w:sz w:val="24"/>
                <w:szCs w:val="24"/>
              </w:rPr>
            </w:pPr>
            <w:r>
              <w:rPr>
                <w:rFonts w:hint="eastAsia" w:ascii="仿宋" w:hAnsi="仿宋" w:eastAsia="仿宋" w:cs="仿宋"/>
                <w:sz w:val="24"/>
                <w:szCs w:val="24"/>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trPr>
        <w:tc>
          <w:tcPr>
            <w:tcW w:w="2379" w:type="dxa"/>
            <w:vAlign w:val="center"/>
          </w:tcPr>
          <w:p>
            <w:pPr>
              <w:spacing w:after="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江苏省南通第一中学食堂大宗物资采购项目（米面类食材）</w:t>
            </w:r>
          </w:p>
        </w:tc>
        <w:tc>
          <w:tcPr>
            <w:tcW w:w="6143" w:type="dxa"/>
            <w:vAlign w:val="center"/>
          </w:tcPr>
          <w:p>
            <w:pPr>
              <w:spacing w:after="0"/>
              <w:jc w:val="both"/>
              <w:rPr>
                <w:rFonts w:ascii="仿宋" w:hAnsi="仿宋" w:eastAsia="仿宋" w:cs="仿宋"/>
                <w:sz w:val="24"/>
                <w:szCs w:val="24"/>
              </w:rPr>
            </w:pPr>
            <w:r>
              <w:rPr>
                <w:rFonts w:hint="eastAsia" w:ascii="仿宋" w:hAnsi="仿宋" w:eastAsia="仿宋" w:cs="仿宋"/>
                <w:sz w:val="24"/>
                <w:szCs w:val="24"/>
              </w:rPr>
              <w:t xml:space="preserve">大写：   </w:t>
            </w:r>
          </w:p>
          <w:p>
            <w:pPr>
              <w:spacing w:after="0"/>
              <w:jc w:val="both"/>
              <w:rPr>
                <w:rFonts w:ascii="仿宋" w:hAnsi="仿宋" w:eastAsia="仿宋" w:cs="仿宋"/>
                <w:kern w:val="2"/>
                <w:sz w:val="24"/>
                <w:szCs w:val="24"/>
              </w:rPr>
            </w:pPr>
            <w:r>
              <w:rPr>
                <w:rFonts w:hint="eastAsia" w:ascii="仿宋" w:hAnsi="仿宋" w:eastAsia="仿宋" w:cs="仿宋"/>
                <w:sz w:val="24"/>
                <w:szCs w:val="24"/>
              </w:rPr>
              <w:t>小写：    （人民币）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379" w:type="dxa"/>
            <w:vAlign w:val="center"/>
          </w:tcPr>
          <w:p>
            <w:pPr>
              <w:spacing w:after="0"/>
              <w:jc w:val="both"/>
              <w:rPr>
                <w:rFonts w:ascii="仿宋" w:hAnsi="仿宋" w:eastAsia="仿宋" w:cs="仿宋"/>
                <w:sz w:val="24"/>
                <w:szCs w:val="24"/>
              </w:rPr>
            </w:pPr>
            <w:r>
              <w:rPr>
                <w:rFonts w:hint="eastAsia" w:ascii="仿宋" w:hAnsi="仿宋" w:eastAsia="仿宋" w:cs="仿宋"/>
                <w:sz w:val="24"/>
                <w:szCs w:val="24"/>
              </w:rPr>
              <w:t>服务期</w:t>
            </w:r>
          </w:p>
        </w:tc>
        <w:tc>
          <w:tcPr>
            <w:tcW w:w="6143" w:type="dxa"/>
            <w:vAlign w:val="center"/>
          </w:tcPr>
          <w:p>
            <w:pPr>
              <w:spacing w:after="0"/>
              <w:jc w:val="both"/>
              <w:rPr>
                <w:rFonts w:ascii="仿宋" w:hAnsi="仿宋" w:eastAsia="仿宋" w:cs="仿宋"/>
                <w:sz w:val="24"/>
                <w:szCs w:val="24"/>
              </w:rPr>
            </w:pPr>
          </w:p>
        </w:tc>
      </w:tr>
    </w:tbl>
    <w:p>
      <w:pPr>
        <w:ind w:firstLine="480" w:firstLineChars="200"/>
        <w:jc w:val="both"/>
        <w:rPr>
          <w:rFonts w:ascii="仿宋" w:hAnsi="仿宋" w:eastAsia="仿宋" w:cs="仿宋"/>
          <w:sz w:val="24"/>
          <w:szCs w:val="24"/>
        </w:rPr>
      </w:pPr>
      <w:r>
        <w:rPr>
          <w:rFonts w:hint="eastAsia" w:ascii="仿宋" w:hAnsi="仿宋" w:eastAsia="仿宋" w:cs="仿宋"/>
          <w:sz w:val="24"/>
          <w:szCs w:val="24"/>
        </w:rPr>
        <w:t>日期：  年  月  日</w:t>
      </w:r>
    </w:p>
    <w:p>
      <w:pPr>
        <w:ind w:firstLine="480"/>
        <w:jc w:val="both"/>
        <w:rPr>
          <w:rFonts w:ascii="仿宋" w:hAnsi="仿宋" w:eastAsia="仿宋" w:cs="仿宋"/>
          <w:bCs/>
          <w:iCs/>
          <w:sz w:val="24"/>
          <w:szCs w:val="24"/>
        </w:rPr>
      </w:pPr>
      <w:r>
        <w:rPr>
          <w:rFonts w:hint="eastAsia" w:ascii="仿宋" w:hAnsi="仿宋" w:eastAsia="仿宋" w:cs="仿宋"/>
          <w:bCs/>
          <w:iCs/>
          <w:sz w:val="24"/>
          <w:szCs w:val="24"/>
        </w:rPr>
        <w:t>填写说明：</w:t>
      </w:r>
    </w:p>
    <w:p>
      <w:pPr>
        <w:spacing w:line="500" w:lineRule="exact"/>
        <w:ind w:firstLine="480" w:firstLineChars="200"/>
        <w:jc w:val="both"/>
        <w:rPr>
          <w:rFonts w:ascii="仿宋" w:hAnsi="仿宋" w:eastAsia="仿宋" w:cs="仿宋"/>
          <w:bCs/>
          <w:iCs/>
          <w:sz w:val="24"/>
          <w:szCs w:val="24"/>
        </w:rPr>
      </w:pPr>
      <w:r>
        <w:rPr>
          <w:rFonts w:hint="eastAsia" w:ascii="仿宋" w:hAnsi="仿宋" w:eastAsia="仿宋" w:cs="仿宋"/>
          <w:bCs/>
          <w:iCs/>
          <w:sz w:val="24"/>
          <w:szCs w:val="24"/>
        </w:rPr>
        <w:t>1、开标一览表必须加盖投标单位公章（复印件无效）。</w:t>
      </w:r>
    </w:p>
    <w:p>
      <w:pPr>
        <w:spacing w:after="0" w:line="540" w:lineRule="exact"/>
        <w:ind w:firstLine="480" w:firstLineChars="200"/>
        <w:jc w:val="both"/>
        <w:rPr>
          <w:rFonts w:hint="eastAsia" w:ascii="仿宋" w:hAnsi="仿宋" w:eastAsia="仿宋" w:cs="仿宋"/>
          <w:bCs/>
          <w:iCs/>
          <w:sz w:val="24"/>
          <w:szCs w:val="24"/>
          <w:lang w:val="zh-CN"/>
        </w:rPr>
      </w:pPr>
      <w:r>
        <w:rPr>
          <w:rFonts w:hint="eastAsia" w:ascii="仿宋" w:hAnsi="仿宋" w:eastAsia="仿宋" w:cs="仿宋"/>
          <w:bCs/>
          <w:iCs/>
          <w:sz w:val="24"/>
          <w:szCs w:val="24"/>
        </w:rPr>
        <w:t>2、响应报价应包括询价文件所确定的该项目的全部内容，包括响应及完成委托工作所需的一切费用</w:t>
      </w:r>
      <w:r>
        <w:rPr>
          <w:rFonts w:hint="eastAsia" w:ascii="仿宋" w:hAnsi="仿宋" w:eastAsia="仿宋" w:cs="仿宋"/>
          <w:bCs/>
          <w:iCs/>
          <w:sz w:val="24"/>
          <w:szCs w:val="24"/>
          <w:lang w:val="zh-CN"/>
        </w:rPr>
        <w:t>，包含但不限于原材料成本、运输、装卸、税收、损耗、利润、管理费、安全措施等一切费用。</w:t>
      </w:r>
    </w:p>
    <w:p>
      <w:pPr>
        <w:snapToGrid w:val="0"/>
        <w:spacing w:line="360" w:lineRule="auto"/>
        <w:jc w:val="center"/>
        <w:outlineLvl w:val="0"/>
        <w:rPr>
          <w:rFonts w:hint="eastAsia" w:ascii="仿宋" w:hAnsi="仿宋" w:eastAsia="仿宋" w:cs="仿宋"/>
          <w:b/>
          <w:bCs/>
          <w:kern w:val="0"/>
          <w:sz w:val="30"/>
          <w:szCs w:val="30"/>
        </w:rPr>
      </w:pPr>
    </w:p>
    <w:p>
      <w:pPr>
        <w:pStyle w:val="2"/>
        <w:rPr>
          <w:rFonts w:hint="eastAsia" w:ascii="仿宋" w:hAnsi="仿宋" w:eastAsia="仿宋" w:cs="仿宋"/>
          <w:b/>
          <w:bCs/>
          <w:kern w:val="0"/>
          <w:sz w:val="30"/>
          <w:szCs w:val="30"/>
        </w:rPr>
      </w:pPr>
    </w:p>
    <w:p>
      <w:pPr>
        <w:pStyle w:val="3"/>
        <w:rPr>
          <w:rFonts w:hint="eastAsia" w:ascii="仿宋" w:hAnsi="仿宋" w:eastAsia="仿宋" w:cs="仿宋"/>
          <w:b/>
          <w:bCs/>
          <w:kern w:val="0"/>
          <w:sz w:val="30"/>
          <w:szCs w:val="30"/>
        </w:rPr>
      </w:pPr>
    </w:p>
    <w:p>
      <w:pPr>
        <w:rPr>
          <w:rFonts w:hint="eastAsia"/>
        </w:rPr>
      </w:pPr>
    </w:p>
    <w:p>
      <w:pPr>
        <w:snapToGrid w:val="0"/>
        <w:spacing w:line="360" w:lineRule="auto"/>
        <w:jc w:val="center"/>
        <w:outlineLvl w:val="0"/>
        <w:rPr>
          <w:rFonts w:hint="eastAsia" w:ascii="仿宋" w:hAnsi="仿宋" w:eastAsia="仿宋" w:cs="仿宋"/>
          <w:b/>
          <w:bCs/>
          <w:kern w:val="0"/>
          <w:sz w:val="30"/>
          <w:szCs w:val="30"/>
        </w:rPr>
      </w:pPr>
    </w:p>
    <w:p>
      <w:pPr>
        <w:snapToGrid w:val="0"/>
        <w:spacing w:line="360" w:lineRule="auto"/>
        <w:jc w:val="center"/>
        <w:outlineLvl w:val="0"/>
        <w:rPr>
          <w:rFonts w:hint="eastAsia" w:ascii="仿宋" w:hAnsi="仿宋" w:eastAsia="仿宋" w:cs="仿宋"/>
          <w:b/>
          <w:bCs/>
          <w:kern w:val="0"/>
          <w:sz w:val="30"/>
          <w:szCs w:val="30"/>
        </w:rPr>
      </w:pPr>
    </w:p>
    <w:p>
      <w:pPr>
        <w:snapToGrid w:val="0"/>
        <w:spacing w:line="360" w:lineRule="auto"/>
        <w:jc w:val="center"/>
        <w:outlineLvl w:val="0"/>
        <w:rPr>
          <w:rFonts w:hint="eastAsia" w:ascii="仿宋" w:hAnsi="仿宋" w:eastAsia="仿宋" w:cs="仿宋"/>
          <w:b/>
          <w:bCs/>
          <w:kern w:val="0"/>
          <w:sz w:val="30"/>
          <w:szCs w:val="30"/>
        </w:rPr>
      </w:pPr>
    </w:p>
    <w:p>
      <w:pPr>
        <w:spacing w:line="360" w:lineRule="auto"/>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报价</w:t>
      </w:r>
      <w:r>
        <w:rPr>
          <w:rFonts w:hint="eastAsia" w:ascii="仿宋" w:hAnsi="仿宋" w:eastAsia="仿宋" w:cs="仿宋"/>
          <w:sz w:val="28"/>
          <w:szCs w:val="28"/>
          <w:lang w:eastAsia="zh-CN"/>
        </w:rPr>
        <w:t>明细表</w:t>
      </w:r>
    </w:p>
    <w:p>
      <w:pPr>
        <w:spacing w:line="360" w:lineRule="auto"/>
        <w:ind w:firstLine="723" w:firstLineChars="300"/>
        <w:jc w:val="left"/>
        <w:outlineLvl w:val="0"/>
        <w:rPr>
          <w:rFonts w:hint="eastAsia" w:ascii="仿宋" w:hAnsi="仿宋" w:eastAsia="仿宋" w:cs="仿宋"/>
          <w:b/>
          <w:kern w:val="0"/>
          <w:sz w:val="24"/>
        </w:rPr>
      </w:pPr>
      <w:bookmarkStart w:id="3" w:name="_Toc30204"/>
      <w:r>
        <w:rPr>
          <w:rFonts w:hint="eastAsia" w:ascii="仿宋" w:hAnsi="仿宋" w:eastAsia="仿宋" w:cs="仿宋"/>
          <w:b/>
          <w:kern w:val="0"/>
          <w:sz w:val="24"/>
        </w:rPr>
        <w:t>米、面</w:t>
      </w:r>
      <w:bookmarkEnd w:id="3"/>
    </w:p>
    <w:tbl>
      <w:tblPr>
        <w:tblStyle w:val="10"/>
        <w:tblW w:w="0" w:type="auto"/>
        <w:jc w:val="center"/>
        <w:tblLayout w:type="fixed"/>
        <w:tblCellMar>
          <w:top w:w="0" w:type="dxa"/>
          <w:left w:w="108" w:type="dxa"/>
          <w:bottom w:w="0" w:type="dxa"/>
          <w:right w:w="108" w:type="dxa"/>
        </w:tblCellMar>
      </w:tblPr>
      <w:tblGrid>
        <w:gridCol w:w="441"/>
        <w:gridCol w:w="992"/>
        <w:gridCol w:w="1417"/>
        <w:gridCol w:w="1843"/>
        <w:gridCol w:w="2031"/>
        <w:gridCol w:w="885"/>
        <w:gridCol w:w="1053"/>
      </w:tblGrid>
      <w:tr>
        <w:tblPrEx>
          <w:tblCellMar>
            <w:top w:w="0" w:type="dxa"/>
            <w:left w:w="108" w:type="dxa"/>
            <w:bottom w:w="0" w:type="dxa"/>
            <w:right w:w="108" w:type="dxa"/>
          </w:tblCellMar>
        </w:tblPrEx>
        <w:trPr>
          <w:trHeight w:val="925" w:hRule="atLeast"/>
          <w:jc w:val="center"/>
        </w:trPr>
        <w:tc>
          <w:tcPr>
            <w:tcW w:w="4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序号</w:t>
            </w: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名称</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规格</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品牌</w:t>
            </w:r>
          </w:p>
        </w:tc>
        <w:tc>
          <w:tcPr>
            <w:tcW w:w="203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lang w:eastAsia="zh-CN"/>
              </w:rPr>
              <w:t>数量</w:t>
            </w:r>
            <w:r>
              <w:rPr>
                <w:rFonts w:hint="eastAsia" w:ascii="仿宋" w:hAnsi="仿宋" w:eastAsia="仿宋" w:cs="仿宋"/>
                <w:color w:val="000000"/>
                <w:kern w:val="0"/>
                <w:szCs w:val="21"/>
              </w:rPr>
              <w:t>（2022年3月1日至2022年8月31日）</w:t>
            </w:r>
          </w:p>
        </w:tc>
        <w:tc>
          <w:tcPr>
            <w:tcW w:w="88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rPr>
              <w:t>单价</w:t>
            </w:r>
            <w:r>
              <w:rPr>
                <w:rFonts w:hint="eastAsia" w:ascii="仿宋" w:hAnsi="仿宋" w:eastAsia="仿宋" w:cs="仿宋"/>
                <w:color w:val="000000"/>
                <w:kern w:val="0"/>
                <w:szCs w:val="21"/>
                <w:lang w:eastAsia="zh-CN"/>
              </w:rPr>
              <w:t>（元）</w:t>
            </w:r>
          </w:p>
        </w:tc>
        <w:tc>
          <w:tcPr>
            <w:tcW w:w="105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合价（元）</w:t>
            </w:r>
          </w:p>
        </w:tc>
      </w:tr>
      <w:tr>
        <w:tblPrEx>
          <w:tblCellMar>
            <w:top w:w="0" w:type="dxa"/>
            <w:left w:w="108" w:type="dxa"/>
            <w:bottom w:w="0" w:type="dxa"/>
            <w:right w:w="108" w:type="dxa"/>
          </w:tblCellMar>
        </w:tblPrEx>
        <w:trPr>
          <w:trHeight w:val="285" w:hRule="atLeast"/>
          <w:jc w:val="center"/>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1</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米</w:t>
            </w:r>
          </w:p>
        </w:tc>
        <w:tc>
          <w:tcPr>
            <w:tcW w:w="141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袋（25kg）</w:t>
            </w:r>
          </w:p>
        </w:tc>
        <w:tc>
          <w:tcPr>
            <w:tcW w:w="1843" w:type="dxa"/>
            <w:tcBorders>
              <w:top w:val="single" w:color="auto" w:sz="4" w:space="0"/>
              <w:left w:val="nil"/>
              <w:bottom w:val="single" w:color="auto" w:sz="4" w:space="0"/>
              <w:right w:val="single" w:color="auto" w:sz="4" w:space="0"/>
            </w:tcBorders>
            <w:noWrap/>
            <w:vAlign w:val="bottom"/>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濠河（一级）</w:t>
            </w:r>
          </w:p>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福临门（一级）</w:t>
            </w:r>
          </w:p>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里下河（一级）</w:t>
            </w:r>
          </w:p>
        </w:tc>
        <w:tc>
          <w:tcPr>
            <w:tcW w:w="2031"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1800袋</w:t>
            </w:r>
          </w:p>
        </w:tc>
        <w:tc>
          <w:tcPr>
            <w:tcW w:w="88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p>
        </w:tc>
        <w:tc>
          <w:tcPr>
            <w:tcW w:w="1053" w:type="dxa"/>
            <w:tcBorders>
              <w:top w:val="nil"/>
              <w:left w:val="nil"/>
              <w:bottom w:val="single" w:color="auto" w:sz="4" w:space="0"/>
              <w:right w:val="single" w:color="auto" w:sz="4" w:space="0"/>
            </w:tcBorders>
            <w:noWrap w:val="0"/>
            <w:vAlign w:val="top"/>
          </w:tcPr>
          <w:p>
            <w:pPr>
              <w:widowControl/>
              <w:jc w:val="center"/>
              <w:rPr>
                <w:rFonts w:hint="eastAsia" w:ascii="仿宋" w:hAnsi="仿宋" w:eastAsia="仿宋" w:cs="仿宋"/>
                <w:color w:val="000000"/>
                <w:kern w:val="0"/>
                <w:szCs w:val="21"/>
              </w:rPr>
            </w:pPr>
          </w:p>
        </w:tc>
      </w:tr>
      <w:tr>
        <w:tblPrEx>
          <w:tblCellMar>
            <w:top w:w="0" w:type="dxa"/>
            <w:left w:w="108" w:type="dxa"/>
            <w:bottom w:w="0" w:type="dxa"/>
            <w:right w:w="108" w:type="dxa"/>
          </w:tblCellMar>
        </w:tblPrEx>
        <w:trPr>
          <w:trHeight w:val="285" w:hRule="atLeast"/>
          <w:jc w:val="center"/>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2</w:t>
            </w:r>
          </w:p>
        </w:tc>
        <w:tc>
          <w:tcPr>
            <w:tcW w:w="992" w:type="dxa"/>
            <w:tcBorders>
              <w:top w:val="nil"/>
              <w:left w:val="nil"/>
              <w:bottom w:val="single" w:color="auto" w:sz="4" w:space="0"/>
              <w:right w:val="single" w:color="auto" w:sz="4" w:space="0"/>
            </w:tcBorders>
            <w:noWrap/>
            <w:vAlign w:val="bottom"/>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5055</w:t>
            </w:r>
          </w:p>
        </w:tc>
        <w:tc>
          <w:tcPr>
            <w:tcW w:w="1417" w:type="dxa"/>
            <w:tcBorders>
              <w:top w:val="nil"/>
              <w:left w:val="nil"/>
              <w:bottom w:val="single" w:color="auto" w:sz="4" w:space="0"/>
              <w:right w:val="single" w:color="auto" w:sz="4" w:space="0"/>
            </w:tcBorders>
            <w:noWrap/>
            <w:vAlign w:val="bottom"/>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袋（10kg）</w:t>
            </w:r>
          </w:p>
        </w:tc>
        <w:tc>
          <w:tcPr>
            <w:tcW w:w="1843" w:type="dxa"/>
            <w:tcBorders>
              <w:top w:val="single" w:color="auto" w:sz="4" w:space="0"/>
              <w:left w:val="nil"/>
              <w:bottom w:val="single" w:color="auto" w:sz="4" w:space="0"/>
              <w:right w:val="single" w:color="auto" w:sz="4" w:space="0"/>
            </w:tcBorders>
            <w:noWrap/>
            <w:vAlign w:val="bottom"/>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濠河（一级）</w:t>
            </w:r>
          </w:p>
        </w:tc>
        <w:tc>
          <w:tcPr>
            <w:tcW w:w="2031" w:type="dxa"/>
            <w:tcBorders>
              <w:top w:val="nil"/>
              <w:left w:val="nil"/>
              <w:bottom w:val="single" w:color="auto" w:sz="4" w:space="0"/>
              <w:right w:val="single" w:color="auto" w:sz="4" w:space="0"/>
            </w:tcBorders>
            <w:noWrap/>
            <w:vAlign w:val="center"/>
          </w:tcPr>
          <w:p>
            <w:pPr>
              <w:widowControl/>
              <w:ind w:firstLine="220" w:firstLineChars="10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500袋</w:t>
            </w:r>
          </w:p>
        </w:tc>
        <w:tc>
          <w:tcPr>
            <w:tcW w:w="88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p>
        </w:tc>
        <w:tc>
          <w:tcPr>
            <w:tcW w:w="1053" w:type="dxa"/>
            <w:tcBorders>
              <w:top w:val="nil"/>
              <w:left w:val="nil"/>
              <w:bottom w:val="single" w:color="auto" w:sz="4" w:space="0"/>
              <w:right w:val="single" w:color="auto" w:sz="4" w:space="0"/>
            </w:tcBorders>
            <w:noWrap w:val="0"/>
            <w:vAlign w:val="top"/>
          </w:tcPr>
          <w:p>
            <w:pPr>
              <w:widowControl/>
              <w:jc w:val="center"/>
              <w:rPr>
                <w:rFonts w:hint="eastAsia" w:ascii="仿宋" w:hAnsi="仿宋" w:eastAsia="仿宋" w:cs="仿宋"/>
                <w:color w:val="000000"/>
                <w:kern w:val="0"/>
                <w:szCs w:val="21"/>
              </w:rPr>
            </w:pPr>
          </w:p>
        </w:tc>
      </w:tr>
      <w:tr>
        <w:tblPrEx>
          <w:tblCellMar>
            <w:top w:w="0" w:type="dxa"/>
            <w:left w:w="108" w:type="dxa"/>
            <w:bottom w:w="0" w:type="dxa"/>
            <w:right w:w="108" w:type="dxa"/>
          </w:tblCellMar>
        </w:tblPrEx>
        <w:trPr>
          <w:trHeight w:val="285" w:hRule="atLeast"/>
          <w:jc w:val="center"/>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3</w:t>
            </w:r>
          </w:p>
        </w:tc>
        <w:tc>
          <w:tcPr>
            <w:tcW w:w="992" w:type="dxa"/>
            <w:tcBorders>
              <w:top w:val="nil"/>
              <w:left w:val="nil"/>
              <w:bottom w:val="single" w:color="auto" w:sz="4" w:space="0"/>
              <w:right w:val="single" w:color="auto" w:sz="4" w:space="0"/>
            </w:tcBorders>
            <w:noWrap/>
            <w:vAlign w:val="bottom"/>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面粉</w:t>
            </w:r>
          </w:p>
        </w:tc>
        <w:tc>
          <w:tcPr>
            <w:tcW w:w="1417" w:type="dxa"/>
            <w:tcBorders>
              <w:top w:val="nil"/>
              <w:left w:val="nil"/>
              <w:bottom w:val="single" w:color="auto" w:sz="4" w:space="0"/>
              <w:right w:val="single" w:color="auto" w:sz="4" w:space="0"/>
            </w:tcBorders>
            <w:noWrap/>
            <w:vAlign w:val="bottom"/>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袋（25kg）</w:t>
            </w:r>
          </w:p>
        </w:tc>
        <w:tc>
          <w:tcPr>
            <w:tcW w:w="1843" w:type="dxa"/>
            <w:tcBorders>
              <w:top w:val="single" w:color="auto" w:sz="4" w:space="0"/>
              <w:left w:val="nil"/>
              <w:bottom w:val="single" w:color="auto" w:sz="4" w:space="0"/>
              <w:right w:val="single" w:color="000000" w:sz="4" w:space="0"/>
            </w:tcBorders>
            <w:noWrap/>
            <w:vAlign w:val="bottom"/>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三得利（五星）</w:t>
            </w:r>
          </w:p>
        </w:tc>
        <w:tc>
          <w:tcPr>
            <w:tcW w:w="2031" w:type="dxa"/>
            <w:tcBorders>
              <w:top w:val="nil"/>
              <w:left w:val="nil"/>
              <w:bottom w:val="single" w:color="auto" w:sz="4" w:space="0"/>
              <w:right w:val="single" w:color="auto" w:sz="4" w:space="0"/>
            </w:tcBorders>
            <w:noWrap/>
            <w:vAlign w:val="bottom"/>
          </w:tcPr>
          <w:p>
            <w:pPr>
              <w:widowControl/>
              <w:ind w:firstLine="220" w:firstLineChars="10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500袋</w:t>
            </w:r>
          </w:p>
        </w:tc>
        <w:tc>
          <w:tcPr>
            <w:tcW w:w="885" w:type="dxa"/>
            <w:tcBorders>
              <w:top w:val="nil"/>
              <w:left w:val="nil"/>
              <w:bottom w:val="single" w:color="auto" w:sz="4" w:space="0"/>
              <w:right w:val="single" w:color="auto" w:sz="4" w:space="0"/>
            </w:tcBorders>
            <w:noWrap/>
            <w:vAlign w:val="bottom"/>
          </w:tcPr>
          <w:p>
            <w:pPr>
              <w:widowControl/>
              <w:jc w:val="center"/>
              <w:rPr>
                <w:rFonts w:hint="eastAsia" w:ascii="仿宋" w:hAnsi="仿宋" w:eastAsia="仿宋" w:cs="仿宋"/>
                <w:color w:val="000000"/>
                <w:kern w:val="0"/>
                <w:szCs w:val="21"/>
              </w:rPr>
            </w:pPr>
          </w:p>
        </w:tc>
        <w:tc>
          <w:tcPr>
            <w:tcW w:w="1053" w:type="dxa"/>
            <w:tcBorders>
              <w:top w:val="nil"/>
              <w:left w:val="nil"/>
              <w:bottom w:val="single" w:color="auto" w:sz="4" w:space="0"/>
              <w:right w:val="single" w:color="auto" w:sz="4" w:space="0"/>
            </w:tcBorders>
            <w:noWrap w:val="0"/>
            <w:vAlign w:val="top"/>
          </w:tcPr>
          <w:p>
            <w:pPr>
              <w:widowControl/>
              <w:jc w:val="center"/>
              <w:rPr>
                <w:rFonts w:hint="eastAsia" w:ascii="仿宋" w:hAnsi="仿宋" w:eastAsia="仿宋" w:cs="仿宋"/>
                <w:color w:val="000000"/>
                <w:kern w:val="0"/>
                <w:szCs w:val="21"/>
              </w:rPr>
            </w:pPr>
          </w:p>
        </w:tc>
      </w:tr>
      <w:tr>
        <w:tblPrEx>
          <w:tblCellMar>
            <w:top w:w="0" w:type="dxa"/>
            <w:left w:w="108" w:type="dxa"/>
            <w:bottom w:w="0" w:type="dxa"/>
            <w:right w:w="108" w:type="dxa"/>
          </w:tblCellMar>
        </w:tblPrEx>
        <w:trPr>
          <w:trHeight w:val="285" w:hRule="atLeast"/>
          <w:jc w:val="center"/>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4</w:t>
            </w:r>
          </w:p>
        </w:tc>
        <w:tc>
          <w:tcPr>
            <w:tcW w:w="992" w:type="dxa"/>
            <w:tcBorders>
              <w:top w:val="nil"/>
              <w:left w:val="nil"/>
              <w:bottom w:val="single" w:color="auto" w:sz="4" w:space="0"/>
              <w:right w:val="single" w:color="auto" w:sz="4" w:space="0"/>
            </w:tcBorders>
            <w:noWrap/>
            <w:vAlign w:val="bottom"/>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面条</w:t>
            </w:r>
          </w:p>
        </w:tc>
        <w:tc>
          <w:tcPr>
            <w:tcW w:w="1417" w:type="dxa"/>
            <w:tcBorders>
              <w:top w:val="nil"/>
              <w:left w:val="nil"/>
              <w:bottom w:val="single" w:color="auto" w:sz="4" w:space="0"/>
              <w:right w:val="single" w:color="auto" w:sz="4" w:space="0"/>
            </w:tcBorders>
            <w:noWrap/>
            <w:vAlign w:val="bottom"/>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kg</w:t>
            </w:r>
          </w:p>
        </w:tc>
        <w:tc>
          <w:tcPr>
            <w:tcW w:w="1843" w:type="dxa"/>
            <w:tcBorders>
              <w:top w:val="single" w:color="auto" w:sz="4" w:space="0"/>
              <w:left w:val="nil"/>
              <w:bottom w:val="single" w:color="auto" w:sz="4" w:space="0"/>
              <w:right w:val="single" w:color="000000" w:sz="4" w:space="0"/>
            </w:tcBorders>
            <w:noWrap/>
            <w:vAlign w:val="bottom"/>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自主</w:t>
            </w:r>
          </w:p>
        </w:tc>
        <w:tc>
          <w:tcPr>
            <w:tcW w:w="2031" w:type="dxa"/>
            <w:tcBorders>
              <w:top w:val="nil"/>
              <w:left w:val="nil"/>
              <w:bottom w:val="single" w:color="auto" w:sz="4" w:space="0"/>
              <w:right w:val="single" w:color="auto" w:sz="4" w:space="0"/>
            </w:tcBorders>
            <w:noWrap/>
            <w:vAlign w:val="center"/>
          </w:tcPr>
          <w:p>
            <w:pPr>
              <w:widowControl/>
              <w:ind w:firstLine="220" w:firstLineChars="10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20000kg</w:t>
            </w:r>
          </w:p>
        </w:tc>
        <w:tc>
          <w:tcPr>
            <w:tcW w:w="88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p>
        </w:tc>
        <w:tc>
          <w:tcPr>
            <w:tcW w:w="1053" w:type="dxa"/>
            <w:tcBorders>
              <w:top w:val="nil"/>
              <w:left w:val="nil"/>
              <w:bottom w:val="single" w:color="auto" w:sz="4" w:space="0"/>
              <w:right w:val="single" w:color="auto" w:sz="4" w:space="0"/>
            </w:tcBorders>
            <w:noWrap w:val="0"/>
            <w:vAlign w:val="top"/>
          </w:tcPr>
          <w:p>
            <w:pPr>
              <w:widowControl/>
              <w:jc w:val="center"/>
              <w:rPr>
                <w:rFonts w:hint="eastAsia" w:ascii="仿宋" w:hAnsi="仿宋" w:eastAsia="仿宋" w:cs="仿宋"/>
                <w:color w:val="000000"/>
                <w:kern w:val="0"/>
                <w:szCs w:val="21"/>
              </w:rPr>
            </w:pPr>
          </w:p>
        </w:tc>
      </w:tr>
      <w:tr>
        <w:tblPrEx>
          <w:tblCellMar>
            <w:top w:w="0" w:type="dxa"/>
            <w:left w:w="108" w:type="dxa"/>
            <w:bottom w:w="0" w:type="dxa"/>
            <w:right w:w="108" w:type="dxa"/>
          </w:tblCellMar>
        </w:tblPrEx>
        <w:trPr>
          <w:trHeight w:val="285" w:hRule="atLeast"/>
          <w:jc w:val="center"/>
        </w:trPr>
        <w:tc>
          <w:tcPr>
            <w:tcW w:w="4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5</w:t>
            </w:r>
          </w:p>
        </w:tc>
        <w:tc>
          <w:tcPr>
            <w:tcW w:w="992" w:type="dxa"/>
            <w:tcBorders>
              <w:top w:val="single" w:color="auto" w:sz="4" w:space="0"/>
              <w:left w:val="nil"/>
              <w:bottom w:val="single" w:color="auto" w:sz="4" w:space="0"/>
              <w:right w:val="single" w:color="auto" w:sz="4" w:space="0"/>
            </w:tcBorders>
            <w:noWrap/>
            <w:vAlign w:val="bottom"/>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皮子</w:t>
            </w:r>
          </w:p>
        </w:tc>
        <w:tc>
          <w:tcPr>
            <w:tcW w:w="1417" w:type="dxa"/>
            <w:tcBorders>
              <w:top w:val="single" w:color="auto" w:sz="4" w:space="0"/>
              <w:left w:val="nil"/>
              <w:bottom w:val="single" w:color="auto" w:sz="4" w:space="0"/>
              <w:right w:val="single" w:color="auto" w:sz="4" w:space="0"/>
            </w:tcBorders>
            <w:noWrap/>
            <w:vAlign w:val="bottom"/>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kg</w:t>
            </w:r>
          </w:p>
        </w:tc>
        <w:tc>
          <w:tcPr>
            <w:tcW w:w="1843" w:type="dxa"/>
            <w:tcBorders>
              <w:top w:val="single" w:color="auto" w:sz="4" w:space="0"/>
              <w:left w:val="nil"/>
              <w:bottom w:val="single" w:color="auto" w:sz="4" w:space="0"/>
              <w:right w:val="single" w:color="000000" w:sz="4" w:space="0"/>
            </w:tcBorders>
            <w:noWrap/>
            <w:vAlign w:val="bottom"/>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自主</w:t>
            </w:r>
          </w:p>
        </w:tc>
        <w:tc>
          <w:tcPr>
            <w:tcW w:w="2031" w:type="dxa"/>
            <w:tcBorders>
              <w:top w:val="single" w:color="auto" w:sz="4" w:space="0"/>
              <w:left w:val="nil"/>
              <w:bottom w:val="single" w:color="auto" w:sz="4" w:space="0"/>
              <w:right w:val="single" w:color="auto" w:sz="4" w:space="0"/>
            </w:tcBorders>
            <w:noWrap/>
            <w:vAlign w:val="center"/>
          </w:tcPr>
          <w:p>
            <w:pPr>
              <w:widowControl/>
              <w:ind w:firstLine="220" w:firstLineChars="10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400kg</w:t>
            </w:r>
          </w:p>
        </w:tc>
        <w:tc>
          <w:tcPr>
            <w:tcW w:w="88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rPr>
            </w:pPr>
          </w:p>
        </w:tc>
        <w:tc>
          <w:tcPr>
            <w:tcW w:w="1053"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 w:hAnsi="仿宋" w:eastAsia="仿宋" w:cs="仿宋"/>
                <w:color w:val="000000"/>
                <w:kern w:val="0"/>
                <w:szCs w:val="21"/>
              </w:rPr>
            </w:pPr>
          </w:p>
        </w:tc>
      </w:tr>
      <w:tr>
        <w:tblPrEx>
          <w:tblCellMar>
            <w:top w:w="0" w:type="dxa"/>
            <w:left w:w="108" w:type="dxa"/>
            <w:bottom w:w="0" w:type="dxa"/>
            <w:right w:w="108" w:type="dxa"/>
          </w:tblCellMar>
        </w:tblPrEx>
        <w:trPr>
          <w:trHeight w:val="285" w:hRule="atLeast"/>
          <w:jc w:val="center"/>
        </w:trPr>
        <w:tc>
          <w:tcPr>
            <w:tcW w:w="4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6</w:t>
            </w:r>
          </w:p>
        </w:tc>
        <w:tc>
          <w:tcPr>
            <w:tcW w:w="7168" w:type="dxa"/>
            <w:gridSpan w:val="5"/>
            <w:tcBorders>
              <w:top w:val="single" w:color="auto" w:sz="4" w:space="0"/>
              <w:left w:val="nil"/>
              <w:bottom w:val="single" w:color="auto" w:sz="4" w:space="0"/>
              <w:right w:val="single" w:color="auto" w:sz="4" w:space="0"/>
            </w:tcBorders>
            <w:noWrap/>
            <w:vAlign w:val="bottom"/>
          </w:tcPr>
          <w:p>
            <w:pPr>
              <w:widowControl/>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合计（元）</w:t>
            </w:r>
          </w:p>
        </w:tc>
        <w:tc>
          <w:tcPr>
            <w:tcW w:w="1053"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 w:hAnsi="仿宋" w:eastAsia="仿宋" w:cs="仿宋"/>
                <w:color w:val="000000"/>
                <w:kern w:val="0"/>
                <w:szCs w:val="21"/>
              </w:rPr>
            </w:pPr>
          </w:p>
        </w:tc>
      </w:tr>
    </w:tbl>
    <w:p>
      <w:pPr>
        <w:spacing w:line="360" w:lineRule="auto"/>
        <w:ind w:firstLine="480" w:firstLineChars="200"/>
        <w:jc w:val="left"/>
        <w:rPr>
          <w:rFonts w:hint="eastAsia" w:ascii="仿宋" w:hAnsi="仿宋" w:eastAsia="仿宋" w:cs="仿宋"/>
          <w:color w:val="auto"/>
          <w:lang w:eastAsia="zh-CN"/>
        </w:rPr>
      </w:pPr>
      <w:r>
        <w:rPr>
          <w:rStyle w:val="23"/>
          <w:rFonts w:hint="eastAsia" w:ascii="仿宋" w:hAnsi="仿宋" w:eastAsia="仿宋"/>
          <w:color w:val="auto"/>
          <w:sz w:val="24"/>
          <w:szCs w:val="24"/>
        </w:rPr>
        <w:t>（建议品牌为我校原使用品牌，除此品牌之外，响应供货商可以提供南通市区大型超市：麦德龙、山姆、大润发上架品牌物品，并在报价时提供上述超市有售的佐证材料。除以重量为计价单位外的品种，所供应货品的单品规格不得低于建议品牌。）</w:t>
      </w:r>
    </w:p>
    <w:p>
      <w:pPr>
        <w:keepNext w:val="0"/>
        <w:keepLines w:val="0"/>
        <w:pageBreakBefore w:val="0"/>
        <w:widowControl/>
        <w:kinsoku/>
        <w:wordWrap/>
        <w:overflowPunct/>
        <w:topLinePunct w:val="0"/>
        <w:autoSpaceDE/>
        <w:autoSpaceDN/>
        <w:bidi w:val="0"/>
        <w:adjustRightInd w:val="0"/>
        <w:snapToGrid w:val="0"/>
        <w:spacing w:before="164" w:beforeLines="50" w:after="164" w:afterLines="50" w:line="360" w:lineRule="auto"/>
        <w:textAlignment w:val="auto"/>
        <w:rPr>
          <w:rFonts w:hint="eastAsia" w:ascii="仿宋" w:hAnsi="仿宋" w:eastAsia="仿宋" w:cs="仿宋"/>
          <w:sz w:val="24"/>
        </w:rPr>
      </w:pPr>
      <w:r>
        <w:rPr>
          <w:rFonts w:hint="eastAsia" w:ascii="仿宋" w:hAnsi="仿宋" w:eastAsia="仿宋" w:cs="仿宋"/>
          <w:sz w:val="24"/>
        </w:rPr>
        <w:t>备注：</w:t>
      </w:r>
    </w:p>
    <w:p>
      <w:pPr>
        <w:keepNext w:val="0"/>
        <w:keepLines w:val="0"/>
        <w:pageBreakBefore w:val="0"/>
        <w:widowControl/>
        <w:kinsoku/>
        <w:wordWrap/>
        <w:overflowPunct/>
        <w:topLinePunct w:val="0"/>
        <w:autoSpaceDE/>
        <w:autoSpaceDN/>
        <w:bidi w:val="0"/>
        <w:adjustRightInd w:val="0"/>
        <w:snapToGrid w:val="0"/>
        <w:spacing w:before="164" w:beforeLines="50" w:after="164" w:afterLines="50" w:line="240" w:lineRule="auto"/>
        <w:textAlignment w:val="auto"/>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1</w:t>
      </w:r>
      <w:r>
        <w:rPr>
          <w:rFonts w:hint="eastAsia" w:ascii="仿宋" w:hAnsi="仿宋" w:eastAsia="仿宋" w:cs="仿宋"/>
          <w:sz w:val="24"/>
        </w:rPr>
        <w:t>）以上商品数量，均为大约数，以实际送货量为准。</w:t>
      </w:r>
    </w:p>
    <w:p>
      <w:pPr>
        <w:keepNext w:val="0"/>
        <w:keepLines w:val="0"/>
        <w:pageBreakBefore w:val="0"/>
        <w:widowControl/>
        <w:kinsoku/>
        <w:wordWrap/>
        <w:overflowPunct/>
        <w:topLinePunct w:val="0"/>
        <w:autoSpaceDE/>
        <w:autoSpaceDN/>
        <w:bidi w:val="0"/>
        <w:adjustRightInd w:val="0"/>
        <w:snapToGrid w:val="0"/>
        <w:spacing w:before="164" w:beforeLines="50" w:after="164" w:afterLines="50" w:line="240" w:lineRule="auto"/>
        <w:textAlignment w:val="auto"/>
        <w:rPr>
          <w:rFonts w:hint="eastAsia" w:ascii="仿宋" w:hAnsi="仿宋" w:eastAsia="仿宋" w:cs="仿宋"/>
          <w:color w:val="000000"/>
          <w:sz w:val="28"/>
          <w:szCs w:val="28"/>
        </w:rPr>
      </w:pPr>
      <w:r>
        <w:rPr>
          <w:rFonts w:hint="eastAsia" w:ascii="仿宋" w:hAnsi="仿宋" w:eastAsia="仿宋" w:cs="仿宋"/>
          <w:sz w:val="24"/>
        </w:rPr>
        <w:t>（</w:t>
      </w:r>
      <w:r>
        <w:rPr>
          <w:rFonts w:hint="eastAsia" w:ascii="仿宋" w:hAnsi="仿宋" w:eastAsia="仿宋" w:cs="仿宋"/>
          <w:sz w:val="24"/>
          <w:lang w:val="en-US" w:eastAsia="zh-CN"/>
        </w:rPr>
        <w:t>2</w:t>
      </w:r>
      <w:r>
        <w:rPr>
          <w:rFonts w:hint="eastAsia" w:ascii="仿宋" w:hAnsi="仿宋" w:eastAsia="仿宋" w:cs="仿宋"/>
          <w:sz w:val="24"/>
        </w:rPr>
        <w:t>）按照统一格式报价。</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4"/>
        </w:rPr>
      </w:pPr>
      <w:r>
        <w:rPr>
          <w:rFonts w:hint="eastAsia" w:ascii="仿宋" w:hAnsi="仿宋" w:eastAsia="仿宋" w:cs="仿宋"/>
          <w:color w:val="000000"/>
          <w:sz w:val="24"/>
        </w:rPr>
        <w:t>投标方：（单位盖章）</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4"/>
        </w:rPr>
      </w:pPr>
      <w:r>
        <w:rPr>
          <w:rFonts w:hint="eastAsia" w:ascii="仿宋" w:hAnsi="仿宋" w:eastAsia="仿宋" w:cs="仿宋"/>
          <w:color w:val="000000"/>
          <w:sz w:val="24"/>
        </w:rPr>
        <w:t>法定代表人（负责人）或代理人：（签字或盖章）</w:t>
      </w:r>
    </w:p>
    <w:p>
      <w:pPr>
        <w:spacing w:line="480" w:lineRule="auto"/>
        <w:rPr>
          <w:rFonts w:hint="default" w:ascii="仿宋" w:hAnsi="仿宋" w:eastAsia="仿宋" w:cs="仿宋"/>
          <w:color w:val="000000"/>
          <w:sz w:val="24"/>
          <w:lang w:val="en-US"/>
        </w:rPr>
      </w:pPr>
      <w:r>
        <w:rPr>
          <w:rFonts w:hint="eastAsia" w:ascii="仿宋" w:hAnsi="仿宋" w:eastAsia="仿宋" w:cs="仿宋"/>
          <w:color w:val="000000"/>
          <w:sz w:val="24"/>
        </w:rPr>
        <w:t>日期：      年     月      日</w:t>
      </w:r>
    </w:p>
    <w:p>
      <w:pPr>
        <w:snapToGrid w:val="0"/>
        <w:spacing w:line="360" w:lineRule="auto"/>
        <w:jc w:val="center"/>
        <w:outlineLvl w:val="0"/>
        <w:rPr>
          <w:rFonts w:hint="eastAsia" w:ascii="仿宋" w:hAnsi="仿宋" w:eastAsia="仿宋" w:cs="仿宋"/>
          <w:b/>
          <w:bCs/>
          <w:kern w:val="0"/>
          <w:sz w:val="30"/>
          <w:szCs w:val="30"/>
        </w:rPr>
      </w:pPr>
    </w:p>
    <w:p>
      <w:pPr>
        <w:snapToGrid w:val="0"/>
        <w:spacing w:line="360" w:lineRule="auto"/>
        <w:jc w:val="both"/>
        <w:outlineLvl w:val="0"/>
        <w:rPr>
          <w:rFonts w:hint="eastAsia" w:ascii="仿宋" w:hAnsi="仿宋" w:eastAsia="仿宋" w:cs="仿宋"/>
          <w:b/>
          <w:bCs/>
          <w:kern w:val="0"/>
          <w:sz w:val="30"/>
          <w:szCs w:val="30"/>
        </w:rPr>
      </w:pPr>
    </w:p>
    <w:p>
      <w:pPr>
        <w:pStyle w:val="24"/>
        <w:spacing w:line="480" w:lineRule="auto"/>
      </w:pPr>
    </w:p>
    <w:sectPr>
      <w:pgSz w:w="11906" w:h="16838"/>
      <w:pgMar w:top="1588" w:right="1304"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04283A"/>
    <w:multiLevelType w:val="singleLevel"/>
    <w:tmpl w:val="EE04283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2E"/>
    <w:rsid w:val="00093889"/>
    <w:rsid w:val="001217E8"/>
    <w:rsid w:val="00172420"/>
    <w:rsid w:val="0018443B"/>
    <w:rsid w:val="001C290C"/>
    <w:rsid w:val="002100E3"/>
    <w:rsid w:val="002229C9"/>
    <w:rsid w:val="00232759"/>
    <w:rsid w:val="00293CDF"/>
    <w:rsid w:val="002F446D"/>
    <w:rsid w:val="004424D2"/>
    <w:rsid w:val="004B72AE"/>
    <w:rsid w:val="005816A8"/>
    <w:rsid w:val="005E6F17"/>
    <w:rsid w:val="00696E34"/>
    <w:rsid w:val="006A332B"/>
    <w:rsid w:val="00705E2E"/>
    <w:rsid w:val="0077790A"/>
    <w:rsid w:val="007A7491"/>
    <w:rsid w:val="007E20BC"/>
    <w:rsid w:val="007E3C9C"/>
    <w:rsid w:val="00806BAB"/>
    <w:rsid w:val="008C69E8"/>
    <w:rsid w:val="009730C2"/>
    <w:rsid w:val="0098131C"/>
    <w:rsid w:val="00A328C0"/>
    <w:rsid w:val="00BB58E5"/>
    <w:rsid w:val="00BD3CCD"/>
    <w:rsid w:val="00CB7F42"/>
    <w:rsid w:val="00D10350"/>
    <w:rsid w:val="00D17217"/>
    <w:rsid w:val="00D327CF"/>
    <w:rsid w:val="00E51438"/>
    <w:rsid w:val="01E41CCE"/>
    <w:rsid w:val="02E60222"/>
    <w:rsid w:val="04AB1DE0"/>
    <w:rsid w:val="07A94976"/>
    <w:rsid w:val="0B974AC8"/>
    <w:rsid w:val="0C0C0A8A"/>
    <w:rsid w:val="12C7072D"/>
    <w:rsid w:val="14397409"/>
    <w:rsid w:val="190653E0"/>
    <w:rsid w:val="19607336"/>
    <w:rsid w:val="1BC31CAE"/>
    <w:rsid w:val="1D793C32"/>
    <w:rsid w:val="1E7D2A6F"/>
    <w:rsid w:val="1E934127"/>
    <w:rsid w:val="25903388"/>
    <w:rsid w:val="26B56E44"/>
    <w:rsid w:val="273F48DE"/>
    <w:rsid w:val="2AA2121F"/>
    <w:rsid w:val="2B3F6C01"/>
    <w:rsid w:val="2FC86E69"/>
    <w:rsid w:val="31692558"/>
    <w:rsid w:val="31AF2660"/>
    <w:rsid w:val="3B8561E0"/>
    <w:rsid w:val="3BFF0820"/>
    <w:rsid w:val="3F214472"/>
    <w:rsid w:val="449A5A2B"/>
    <w:rsid w:val="452A22D2"/>
    <w:rsid w:val="49117305"/>
    <w:rsid w:val="5291265E"/>
    <w:rsid w:val="55EC68F9"/>
    <w:rsid w:val="562A5862"/>
    <w:rsid w:val="5C8F7148"/>
    <w:rsid w:val="5DDA7F34"/>
    <w:rsid w:val="604762ED"/>
    <w:rsid w:val="62C0797A"/>
    <w:rsid w:val="688356D2"/>
    <w:rsid w:val="68AA5354"/>
    <w:rsid w:val="6AEE3249"/>
    <w:rsid w:val="6B6F1F3D"/>
    <w:rsid w:val="6EED6736"/>
    <w:rsid w:val="71995F66"/>
    <w:rsid w:val="7D55215B"/>
    <w:rsid w:val="B6C5CE53"/>
    <w:rsid w:val="FFCF3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宋体" w:cs="Times New Roman"/>
      <w:sz w:val="22"/>
      <w:szCs w:val="22"/>
      <w:lang w:val="en-US" w:eastAsia="zh-CN" w:bidi="ar-SA"/>
    </w:rPr>
  </w:style>
  <w:style w:type="paragraph" w:styleId="4">
    <w:name w:val="heading 1"/>
    <w:basedOn w:val="1"/>
    <w:next w:val="1"/>
    <w:qFormat/>
    <w:uiPriority w:val="0"/>
    <w:pPr>
      <w:keepNext/>
      <w:keepLines/>
      <w:spacing w:before="340" w:after="330" w:line="578" w:lineRule="auto"/>
      <w:outlineLvl w:val="0"/>
    </w:pPr>
    <w:rPr>
      <w:rFonts w:eastAsia="楷体_GB2312"/>
      <w:b/>
      <w:kern w:val="44"/>
      <w:sz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adjustRightInd w:val="0"/>
      <w:snapToGrid w:val="0"/>
      <w:spacing w:after="200" w:line="400" w:lineRule="exact"/>
    </w:pPr>
    <w:rPr>
      <w:rFonts w:ascii="楷体_GB2312" w:hAnsi="Tahoma" w:eastAsia="宋体" w:cs="Times New Roman"/>
      <w:sz w:val="28"/>
      <w:szCs w:val="22"/>
      <w:lang w:val="en-US" w:eastAsia="zh-CN" w:bidi="ar-SA"/>
    </w:rPr>
  </w:style>
  <w:style w:type="paragraph" w:styleId="3">
    <w:name w:val="toc 9"/>
    <w:next w:val="1"/>
    <w:unhideWhenUsed/>
    <w:qFormat/>
    <w:uiPriority w:val="39"/>
    <w:pPr>
      <w:wordWrap w:val="0"/>
      <w:adjustRightInd w:val="0"/>
      <w:snapToGrid w:val="0"/>
      <w:spacing w:after="200"/>
      <w:ind w:left="2975"/>
      <w:jc w:val="both"/>
    </w:pPr>
    <w:rPr>
      <w:rFonts w:ascii="Times New Roman" w:hAnsi="Times New Roman" w:eastAsia="宋体" w:cs="Times New Roman"/>
      <w:sz w:val="21"/>
      <w:szCs w:val="22"/>
      <w:lang w:val="en-US" w:eastAsia="zh-CN" w:bidi="ar-SA"/>
    </w:rPr>
  </w:style>
  <w:style w:type="paragraph" w:styleId="5">
    <w:name w:val="Normal Indent"/>
    <w:basedOn w:val="1"/>
    <w:qFormat/>
    <w:uiPriority w:val="0"/>
    <w:pPr>
      <w:adjustRightInd w:val="0"/>
      <w:ind w:firstLine="420"/>
      <w:jc w:val="left"/>
      <w:textAlignment w:val="baseline"/>
    </w:pPr>
    <w:rPr>
      <w:sz w:val="24"/>
    </w:rPr>
  </w:style>
  <w:style w:type="paragraph" w:styleId="6">
    <w:name w:val="annotation text"/>
    <w:basedOn w:val="1"/>
    <w:qFormat/>
    <w:uiPriority w:val="0"/>
    <w:pPr>
      <w:jc w:val="left"/>
    </w:pPr>
  </w:style>
  <w:style w:type="paragraph" w:styleId="7">
    <w:name w:val="footer"/>
    <w:basedOn w:val="1"/>
    <w:link w:val="18"/>
    <w:qFormat/>
    <w:uiPriority w:val="0"/>
    <w:pPr>
      <w:tabs>
        <w:tab w:val="center" w:pos="4153"/>
        <w:tab w:val="right" w:pos="8306"/>
      </w:tabs>
    </w:pPr>
    <w:rPr>
      <w:sz w:val="18"/>
      <w:szCs w:val="18"/>
    </w:rPr>
  </w:style>
  <w:style w:type="paragraph" w:styleId="8">
    <w:name w:val="header"/>
    <w:basedOn w:val="1"/>
    <w:qFormat/>
    <w:uiPriority w:val="0"/>
    <w:pPr>
      <w:pBdr>
        <w:bottom w:val="single" w:color="auto" w:sz="6" w:space="1"/>
      </w:pBdr>
      <w:tabs>
        <w:tab w:val="center" w:pos="4153"/>
        <w:tab w:val="right" w:pos="8306"/>
      </w:tabs>
      <w:jc w:val="center"/>
    </w:pPr>
    <w:rPr>
      <w:sz w:val="18"/>
      <w:szCs w:val="18"/>
    </w:rPr>
  </w:style>
  <w:style w:type="paragraph" w:styleId="9">
    <w:name w:val="Normal (Web)"/>
    <w:basedOn w:val="1"/>
    <w:qFormat/>
    <w:uiPriority w:val="99"/>
    <w:pPr>
      <w:adjustRightInd w:val="0"/>
      <w:snapToGrid w:val="0"/>
      <w:spacing w:before="100" w:beforeAutospacing="1" w:after="100" w:afterAutospacing="1"/>
    </w:pPr>
    <w:rPr>
      <w:rFonts w:ascii="Calibri" w:hAnsi="Calibri" w:eastAsia="宋体" w:cs="Times New Roman"/>
      <w:sz w:val="24"/>
      <w:szCs w:val="24"/>
      <w:lang w:val="en-US" w:eastAsia="zh-CN" w:bidi="ar-SA"/>
    </w:rPr>
  </w:style>
  <w:style w:type="paragraph" w:customStyle="1" w:styleId="12">
    <w:name w:val="Default"/>
    <w:qFormat/>
    <w:uiPriority w:val="0"/>
    <w:pPr>
      <w:widowControl w:val="0"/>
      <w:autoSpaceDE w:val="0"/>
      <w:autoSpaceDN w:val="0"/>
      <w:adjustRightInd w:val="0"/>
      <w:spacing w:line="440" w:lineRule="exact"/>
      <w:jc w:val="both"/>
    </w:pPr>
    <w:rPr>
      <w:rFonts w:ascii="宋体" w:hAnsi="Times New Roman" w:eastAsia="宋体" w:cs="宋体"/>
      <w:color w:val="000000"/>
      <w:kern w:val="2"/>
      <w:sz w:val="24"/>
      <w:szCs w:val="24"/>
      <w:lang w:val="en-US" w:eastAsia="zh-CN" w:bidi="ar-SA"/>
    </w:rPr>
  </w:style>
  <w:style w:type="paragraph" w:customStyle="1" w:styleId="13">
    <w:name w:val="列表段落1"/>
    <w:basedOn w:val="1"/>
    <w:qFormat/>
    <w:uiPriority w:val="34"/>
    <w:pPr>
      <w:widowControl w:val="0"/>
      <w:adjustRightInd/>
      <w:snapToGrid/>
      <w:spacing w:after="0"/>
      <w:ind w:firstLine="420" w:firstLineChars="200"/>
      <w:jc w:val="both"/>
    </w:pPr>
    <w:rPr>
      <w:rFonts w:ascii="Calibri" w:hAnsi="Calibri"/>
      <w:sz w:val="20"/>
      <w:szCs w:val="20"/>
    </w:rPr>
  </w:style>
  <w:style w:type="character" w:customStyle="1" w:styleId="14">
    <w:name w:val="font61"/>
    <w:qFormat/>
    <w:uiPriority w:val="0"/>
    <w:rPr>
      <w:rFonts w:hint="eastAsia" w:ascii="宋体" w:hAnsi="宋体" w:eastAsia="宋体" w:cs="宋体"/>
      <w:color w:val="000000"/>
      <w:sz w:val="20"/>
      <w:szCs w:val="20"/>
      <w:u w:val="none"/>
    </w:rPr>
  </w:style>
  <w:style w:type="paragraph" w:customStyle="1" w:styleId="15">
    <w:name w:val="BodyText1I2"/>
    <w:qFormat/>
    <w:uiPriority w:val="0"/>
    <w:pPr>
      <w:adjustRightInd w:val="0"/>
      <w:snapToGrid w:val="0"/>
      <w:spacing w:after="200"/>
      <w:ind w:firstLine="420" w:firstLineChars="200"/>
      <w:jc w:val="both"/>
      <w:textAlignment w:val="baseline"/>
    </w:pPr>
    <w:rPr>
      <w:rFonts w:ascii="Tahoma" w:hAnsi="Tahoma" w:eastAsia="楷体_GB2312" w:cs="Times New Roman"/>
      <w:kern w:val="2"/>
      <w:sz w:val="24"/>
      <w:szCs w:val="22"/>
      <w:lang w:val="en-US" w:eastAsia="zh-CN" w:bidi="ar-SA"/>
    </w:rPr>
  </w:style>
  <w:style w:type="paragraph" w:customStyle="1" w:styleId="16">
    <w:name w:val="普通正文"/>
    <w:qFormat/>
    <w:uiPriority w:val="0"/>
    <w:pPr>
      <w:adjustRightInd w:val="0"/>
      <w:snapToGrid w:val="0"/>
      <w:spacing w:before="120" w:after="120" w:line="360" w:lineRule="auto"/>
      <w:ind w:firstLine="480"/>
      <w:textAlignment w:val="baseline"/>
    </w:pPr>
    <w:rPr>
      <w:rFonts w:ascii="Arial" w:hAnsi="Arial" w:eastAsia="宋体" w:cs="Times New Roman"/>
      <w:sz w:val="24"/>
      <w:szCs w:val="24"/>
      <w:lang w:val="en-US" w:eastAsia="zh-CN" w:bidi="ar-SA"/>
    </w:rPr>
  </w:style>
  <w:style w:type="paragraph" w:customStyle="1" w:styleId="17">
    <w:name w:val="无间隔1"/>
    <w:qFormat/>
    <w:uiPriority w:val="0"/>
    <w:pPr>
      <w:widowControl w:val="0"/>
      <w:spacing w:line="300" w:lineRule="auto"/>
    </w:pPr>
    <w:rPr>
      <w:rFonts w:ascii="Times New Roman" w:hAnsi="Times New Roman" w:eastAsia="华文仿宋" w:cs="Times New Roman"/>
      <w:kern w:val="2"/>
      <w:sz w:val="24"/>
      <w:szCs w:val="21"/>
      <w:lang w:val="en-US" w:eastAsia="zh-CN" w:bidi="ar-SA"/>
    </w:rPr>
  </w:style>
  <w:style w:type="character" w:customStyle="1" w:styleId="18">
    <w:name w:val="页脚 Char"/>
    <w:basedOn w:val="11"/>
    <w:link w:val="7"/>
    <w:qFormat/>
    <w:uiPriority w:val="0"/>
    <w:rPr>
      <w:rFonts w:ascii="Tahoma" w:hAnsi="Tahoma" w:eastAsia="宋体" w:cs="Times New Roman"/>
      <w:sz w:val="18"/>
      <w:szCs w:val="18"/>
    </w:rPr>
  </w:style>
  <w:style w:type="paragraph" w:styleId="19">
    <w:name w:val="List Paragraph"/>
    <w:basedOn w:val="1"/>
    <w:qFormat/>
    <w:uiPriority w:val="99"/>
    <w:pPr>
      <w:widowControl w:val="0"/>
      <w:adjustRightInd/>
      <w:snapToGrid/>
      <w:spacing w:after="0"/>
      <w:ind w:firstLine="420" w:firstLineChars="200"/>
      <w:jc w:val="both"/>
    </w:pPr>
    <w:rPr>
      <w:rFonts w:ascii="Times New Roman" w:hAnsi="Times New Roman"/>
      <w:kern w:val="2"/>
      <w:sz w:val="21"/>
      <w:szCs w:val="20"/>
    </w:rPr>
  </w:style>
  <w:style w:type="paragraph" w:customStyle="1" w:styleId="20">
    <w:name w:val="普通(网站) Char"/>
    <w:basedOn w:val="1"/>
    <w:qFormat/>
    <w:uiPriority w:val="0"/>
    <w:pPr>
      <w:adjustRightInd/>
      <w:snapToGrid/>
      <w:spacing w:beforeAutospacing="1" w:after="0" w:afterAutospacing="1"/>
    </w:pPr>
    <w:rPr>
      <w:rFonts w:hint="eastAsia" w:ascii="宋体" w:hAnsi="宋体"/>
      <w:sz w:val="24"/>
      <w:szCs w:val="24"/>
    </w:rPr>
  </w:style>
  <w:style w:type="paragraph" w:customStyle="1" w:styleId="21">
    <w:name w:val="Table Paragraph"/>
    <w:basedOn w:val="1"/>
    <w:qFormat/>
    <w:uiPriority w:val="1"/>
    <w:rPr>
      <w:rFonts w:ascii="宋体" w:hAnsi="宋体" w:cs="宋体"/>
      <w:szCs w:val="22"/>
      <w:lang w:val="zh-CN" w:bidi="zh-CN"/>
    </w:rPr>
  </w:style>
  <w:style w:type="paragraph" w:customStyle="1" w:styleId="22">
    <w:name w:val="正文正"/>
    <w:basedOn w:val="1"/>
    <w:qFormat/>
    <w:uiPriority w:val="0"/>
    <w:pPr>
      <w:spacing w:line="560" w:lineRule="exact"/>
      <w:ind w:firstLine="561"/>
    </w:pPr>
    <w:rPr>
      <w:rFonts w:eastAsia="仿宋_GB2312"/>
      <w:sz w:val="28"/>
      <w:szCs w:val="24"/>
    </w:rPr>
  </w:style>
  <w:style w:type="character" w:customStyle="1" w:styleId="23">
    <w:name w:val="NormalCharacter"/>
    <w:qFormat/>
    <w:uiPriority w:val="0"/>
  </w:style>
  <w:style w:type="paragraph" w:customStyle="1" w:styleId="24">
    <w:name w:val="正文1"/>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1881</Words>
  <Characters>10723</Characters>
  <Lines>89</Lines>
  <Paragraphs>25</Paragraphs>
  <TotalTime>3</TotalTime>
  <ScaleCrop>false</ScaleCrop>
  <LinksUpToDate>false</LinksUpToDate>
  <CharactersWithSpaces>12579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2021-11-17T01:24:00Z</dcterms:created>
  <dc:creator>DELL</dc:creator>
  <cp:lastModifiedBy>admin</cp:lastModifiedBy>
  <dcterms:modified xsi:type="dcterms:W3CDTF">2022-01-24T06:15:39Z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604FD9A0549A4EE1AC7B5C1F31542243</vt:lpwstr>
  </property>
</Properties>
</file>